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7996B" w14:textId="77777777" w:rsidR="00E65C50" w:rsidRPr="002C5848" w:rsidRDefault="00E65C50" w:rsidP="00D924BA">
      <w:pPr>
        <w:jc w:val="center"/>
        <w:rPr>
          <w:b/>
          <w:sz w:val="22"/>
          <w:szCs w:val="22"/>
        </w:rPr>
      </w:pPr>
      <w:r w:rsidRPr="002C5848">
        <w:rPr>
          <w:b/>
          <w:sz w:val="22"/>
          <w:szCs w:val="22"/>
        </w:rPr>
        <w:t>UNITED STATES</w:t>
      </w:r>
    </w:p>
    <w:p w14:paraId="05B8C82C" w14:textId="3B89D25A" w:rsidR="00A51F81" w:rsidRPr="002C5848" w:rsidRDefault="00A51F81" w:rsidP="00D924BA">
      <w:pPr>
        <w:jc w:val="center"/>
        <w:rPr>
          <w:b/>
          <w:sz w:val="22"/>
          <w:szCs w:val="22"/>
        </w:rPr>
      </w:pPr>
      <w:r w:rsidRPr="002C5848">
        <w:rPr>
          <w:b/>
          <w:sz w:val="22"/>
          <w:szCs w:val="22"/>
        </w:rPr>
        <w:t>SECURITIES AND EXCHANGE COMMISSION</w:t>
      </w:r>
    </w:p>
    <w:p w14:paraId="1CE40200" w14:textId="4C3C71D4" w:rsidR="00A51F81" w:rsidRPr="002C5848" w:rsidRDefault="00E65C50" w:rsidP="00D924BA">
      <w:pPr>
        <w:jc w:val="center"/>
        <w:rPr>
          <w:b/>
          <w:sz w:val="22"/>
          <w:szCs w:val="22"/>
        </w:rPr>
      </w:pPr>
      <w:r w:rsidRPr="002C5848">
        <w:rPr>
          <w:b/>
          <w:sz w:val="22"/>
          <w:szCs w:val="22"/>
        </w:rPr>
        <w:t>Washington,</w:t>
      </w:r>
      <w:r w:rsidR="00A51F81" w:rsidRPr="002C5848">
        <w:rPr>
          <w:b/>
          <w:sz w:val="22"/>
          <w:szCs w:val="22"/>
        </w:rPr>
        <w:t xml:space="preserve"> DC 20549</w:t>
      </w:r>
    </w:p>
    <w:p w14:paraId="722D6E72" w14:textId="77777777" w:rsidR="00A51F81" w:rsidRPr="002C5848" w:rsidRDefault="00A51F81" w:rsidP="00D924BA">
      <w:pPr>
        <w:jc w:val="center"/>
        <w:rPr>
          <w:sz w:val="22"/>
          <w:szCs w:val="22"/>
        </w:rPr>
      </w:pPr>
    </w:p>
    <w:p w14:paraId="53F3114F" w14:textId="77777777" w:rsidR="00A51F81" w:rsidRPr="002C5848" w:rsidRDefault="00A51F81" w:rsidP="00246EE4">
      <w:pPr>
        <w:jc w:val="center"/>
        <w:rPr>
          <w:sz w:val="22"/>
          <w:szCs w:val="22"/>
        </w:rPr>
      </w:pPr>
      <w:r w:rsidRPr="002C5848">
        <w:rPr>
          <w:b/>
          <w:bCs/>
          <w:sz w:val="22"/>
          <w:szCs w:val="22"/>
        </w:rPr>
        <w:t>FORM 8-K</w:t>
      </w:r>
    </w:p>
    <w:p w14:paraId="2EEBF451" w14:textId="77777777" w:rsidR="00A51F81" w:rsidRPr="002C5848" w:rsidRDefault="00A51F81" w:rsidP="00D924BA">
      <w:pPr>
        <w:jc w:val="center"/>
        <w:rPr>
          <w:sz w:val="22"/>
          <w:szCs w:val="22"/>
        </w:rPr>
      </w:pPr>
    </w:p>
    <w:p w14:paraId="3F281EFD" w14:textId="53F62CEF" w:rsidR="00A51F81" w:rsidRPr="002C5848" w:rsidRDefault="00A51F81" w:rsidP="00E65C50">
      <w:pPr>
        <w:jc w:val="center"/>
        <w:rPr>
          <w:sz w:val="22"/>
          <w:szCs w:val="22"/>
        </w:rPr>
      </w:pPr>
      <w:r w:rsidRPr="002C5848">
        <w:rPr>
          <w:b/>
          <w:bCs/>
          <w:sz w:val="22"/>
          <w:szCs w:val="22"/>
        </w:rPr>
        <w:t>CURRENT REPORT</w:t>
      </w:r>
    </w:p>
    <w:p w14:paraId="1A46728A" w14:textId="21B0DE25" w:rsidR="00A51F81" w:rsidRPr="002C5848" w:rsidRDefault="00E65C50" w:rsidP="00E65C50">
      <w:pPr>
        <w:jc w:val="center"/>
        <w:rPr>
          <w:b/>
          <w:sz w:val="22"/>
          <w:szCs w:val="22"/>
        </w:rPr>
      </w:pPr>
      <w:r w:rsidRPr="002C5848">
        <w:rPr>
          <w:b/>
          <w:sz w:val="22"/>
          <w:szCs w:val="22"/>
        </w:rPr>
        <w:t>Pursuant To Section 13 OR 15(d) of The Securities Exchange Act of 1934</w:t>
      </w:r>
    </w:p>
    <w:p w14:paraId="33FCD79F" w14:textId="3F717E4C" w:rsidR="00E65C50" w:rsidRPr="002C5848" w:rsidRDefault="00E65C50" w:rsidP="002C5848">
      <w:pPr>
        <w:rPr>
          <w:sz w:val="22"/>
          <w:szCs w:val="22"/>
        </w:rPr>
      </w:pPr>
    </w:p>
    <w:p w14:paraId="1556A5CE" w14:textId="3DBB64C4" w:rsidR="00E65C50" w:rsidRPr="002C5848" w:rsidRDefault="00E65C50" w:rsidP="005354B8">
      <w:pPr>
        <w:jc w:val="center"/>
        <w:rPr>
          <w:b/>
          <w:bCs/>
          <w:sz w:val="22"/>
          <w:szCs w:val="22"/>
        </w:rPr>
      </w:pPr>
      <w:r w:rsidRPr="002C5848">
        <w:rPr>
          <w:sz w:val="22"/>
          <w:szCs w:val="22"/>
        </w:rPr>
        <w:t xml:space="preserve">Date of Report (Date of earliest event reported):  </w:t>
      </w:r>
      <w:r w:rsidR="00026A2D" w:rsidRPr="00026A2D">
        <w:rPr>
          <w:b/>
          <w:bCs/>
          <w:sz w:val="22"/>
          <w:szCs w:val="22"/>
        </w:rPr>
        <w:t>February 2</w:t>
      </w:r>
      <w:r w:rsidR="00026A2D">
        <w:rPr>
          <w:b/>
          <w:bCs/>
          <w:sz w:val="22"/>
          <w:szCs w:val="22"/>
        </w:rPr>
        <w:t>2</w:t>
      </w:r>
      <w:r w:rsidR="00026A2D" w:rsidRPr="00026A2D">
        <w:rPr>
          <w:b/>
          <w:bCs/>
          <w:sz w:val="22"/>
          <w:szCs w:val="22"/>
        </w:rPr>
        <w:t>,</w:t>
      </w:r>
      <w:r w:rsidR="00026A2D">
        <w:rPr>
          <w:sz w:val="22"/>
          <w:szCs w:val="22"/>
        </w:rPr>
        <w:t xml:space="preserve"> </w:t>
      </w:r>
      <w:r w:rsidR="00107DB8">
        <w:rPr>
          <w:b/>
          <w:bCs/>
          <w:sz w:val="22"/>
          <w:szCs w:val="22"/>
        </w:rPr>
        <w:t>2023</w:t>
      </w:r>
    </w:p>
    <w:p w14:paraId="66F5C3B8" w14:textId="77777777" w:rsidR="00A51F81" w:rsidRPr="002C5848" w:rsidRDefault="00A51F81" w:rsidP="00D924BA">
      <w:pPr>
        <w:jc w:val="center"/>
        <w:rPr>
          <w:b/>
          <w:bCs/>
          <w:sz w:val="22"/>
          <w:szCs w:val="22"/>
        </w:rPr>
      </w:pPr>
    </w:p>
    <w:p w14:paraId="7D625224" w14:textId="77777777" w:rsidR="00A51F81" w:rsidRPr="002C5848" w:rsidRDefault="00A51F81" w:rsidP="00D924BA">
      <w:pPr>
        <w:jc w:val="center"/>
        <w:rPr>
          <w:sz w:val="22"/>
          <w:szCs w:val="22"/>
        </w:rPr>
      </w:pPr>
      <w:r w:rsidRPr="002C5848">
        <w:rPr>
          <w:b/>
          <w:bCs/>
          <w:sz w:val="22"/>
          <w:szCs w:val="22"/>
        </w:rPr>
        <w:t>FLANIGAN’S ENTERPRISES, INC.</w:t>
      </w:r>
    </w:p>
    <w:p w14:paraId="3FF62949" w14:textId="77777777" w:rsidR="00A51F81" w:rsidRPr="002C5848" w:rsidRDefault="00A51F81" w:rsidP="00D924BA">
      <w:pPr>
        <w:jc w:val="center"/>
        <w:rPr>
          <w:sz w:val="22"/>
          <w:szCs w:val="22"/>
        </w:rPr>
      </w:pPr>
      <w:r w:rsidRPr="002C5848">
        <w:rPr>
          <w:sz w:val="22"/>
          <w:szCs w:val="22"/>
        </w:rPr>
        <w:t>(Exact name of registrant as specified in its charter)</w:t>
      </w:r>
    </w:p>
    <w:p w14:paraId="012CCF30" w14:textId="4AC9EC0D" w:rsidR="00E65C50" w:rsidRPr="002C5848" w:rsidRDefault="00E65C50" w:rsidP="00E65C50">
      <w:pPr>
        <w:rPr>
          <w:sz w:val="22"/>
          <w:szCs w:val="22"/>
        </w:rPr>
      </w:pPr>
    </w:p>
    <w:p w14:paraId="07C19D07" w14:textId="6BA7998A" w:rsidR="00A51F81" w:rsidRPr="002C5848" w:rsidRDefault="00F80AA0" w:rsidP="00E65C50">
      <w:pPr>
        <w:tabs>
          <w:tab w:val="center" w:pos="1800"/>
          <w:tab w:val="center" w:pos="4680"/>
          <w:tab w:val="center" w:pos="7560"/>
        </w:tabs>
        <w:rPr>
          <w:b/>
          <w:bCs/>
          <w:sz w:val="22"/>
          <w:szCs w:val="22"/>
        </w:rPr>
      </w:pPr>
      <w:r w:rsidRPr="002C5848">
        <w:rPr>
          <w:sz w:val="22"/>
          <w:szCs w:val="22"/>
        </w:rPr>
        <w:tab/>
      </w:r>
      <w:r w:rsidR="00AA2ED4" w:rsidRPr="002C5848">
        <w:rPr>
          <w:sz w:val="22"/>
          <w:szCs w:val="22"/>
        </w:rPr>
        <w:t>________</w:t>
      </w:r>
      <w:r w:rsidR="00A51F81" w:rsidRPr="002C5848">
        <w:rPr>
          <w:b/>
          <w:bCs/>
          <w:sz w:val="22"/>
          <w:szCs w:val="22"/>
          <w:u w:val="single"/>
        </w:rPr>
        <w:t>Florida</w:t>
      </w:r>
      <w:r w:rsidR="00AA2ED4" w:rsidRPr="002C5848">
        <w:rPr>
          <w:sz w:val="22"/>
          <w:szCs w:val="22"/>
        </w:rPr>
        <w:t>________</w:t>
      </w:r>
      <w:r w:rsidR="00AA2ED4" w:rsidRPr="002C5848">
        <w:rPr>
          <w:b/>
          <w:bCs/>
          <w:sz w:val="22"/>
          <w:szCs w:val="22"/>
        </w:rPr>
        <w:tab/>
      </w:r>
      <w:r w:rsidR="00E65C50" w:rsidRPr="002C5848">
        <w:rPr>
          <w:b/>
          <w:bCs/>
          <w:sz w:val="22"/>
          <w:szCs w:val="22"/>
        </w:rPr>
        <w:t>_</w:t>
      </w:r>
      <w:r w:rsidR="00E65C50" w:rsidRPr="002C5848">
        <w:rPr>
          <w:b/>
          <w:bCs/>
          <w:sz w:val="22"/>
          <w:szCs w:val="22"/>
          <w:u w:val="single"/>
        </w:rPr>
        <w:t xml:space="preserve"> I-6836</w:t>
      </w:r>
      <w:r w:rsidR="00E65C50" w:rsidRPr="002C5848">
        <w:rPr>
          <w:b/>
          <w:bCs/>
          <w:sz w:val="22"/>
          <w:szCs w:val="22"/>
        </w:rPr>
        <w:t>___</w:t>
      </w:r>
      <w:r w:rsidR="00DA21EC" w:rsidRPr="002C5848">
        <w:rPr>
          <w:b/>
          <w:bCs/>
          <w:sz w:val="22"/>
          <w:szCs w:val="22"/>
        </w:rPr>
        <w:tab/>
      </w:r>
      <w:r w:rsidR="00AA2ED4" w:rsidRPr="002C5848">
        <w:rPr>
          <w:sz w:val="22"/>
          <w:szCs w:val="22"/>
        </w:rPr>
        <w:t>___</w:t>
      </w:r>
      <w:r w:rsidR="00A51F81" w:rsidRPr="002C5848">
        <w:rPr>
          <w:b/>
          <w:bCs/>
          <w:sz w:val="22"/>
          <w:szCs w:val="22"/>
          <w:u w:val="single"/>
        </w:rPr>
        <w:t>59-0877638</w:t>
      </w:r>
      <w:r w:rsidR="00AA2ED4" w:rsidRPr="002C5848">
        <w:rPr>
          <w:sz w:val="22"/>
          <w:szCs w:val="22"/>
        </w:rPr>
        <w:t>___</w:t>
      </w:r>
    </w:p>
    <w:p w14:paraId="1BEB9AFD" w14:textId="4C5667BB" w:rsidR="00E65C50" w:rsidRPr="002C5848" w:rsidRDefault="00AA2ED4" w:rsidP="00E65C50">
      <w:pPr>
        <w:tabs>
          <w:tab w:val="center" w:pos="1800"/>
          <w:tab w:val="center" w:pos="4680"/>
          <w:tab w:val="center" w:pos="7560"/>
        </w:tabs>
        <w:rPr>
          <w:sz w:val="22"/>
          <w:szCs w:val="22"/>
        </w:rPr>
      </w:pPr>
      <w:r w:rsidRPr="002C5848">
        <w:rPr>
          <w:sz w:val="22"/>
          <w:szCs w:val="22"/>
        </w:rPr>
        <w:tab/>
      </w:r>
      <w:r w:rsidR="00A51F81" w:rsidRPr="002C5848">
        <w:rPr>
          <w:sz w:val="22"/>
          <w:szCs w:val="22"/>
        </w:rPr>
        <w:t>(State or other jurisdiction</w:t>
      </w:r>
      <w:r w:rsidRPr="002C5848">
        <w:rPr>
          <w:sz w:val="22"/>
          <w:szCs w:val="22"/>
        </w:rPr>
        <w:t xml:space="preserve"> of</w:t>
      </w:r>
      <w:r w:rsidR="00DA21EC" w:rsidRPr="002C5848">
        <w:rPr>
          <w:sz w:val="22"/>
          <w:szCs w:val="22"/>
        </w:rPr>
        <w:tab/>
        <w:t xml:space="preserve">(Commission </w:t>
      </w:r>
      <w:r w:rsidR="00E65C50" w:rsidRPr="002C5848">
        <w:rPr>
          <w:sz w:val="22"/>
          <w:szCs w:val="22"/>
        </w:rPr>
        <w:tab/>
      </w:r>
      <w:r w:rsidR="00DA21EC" w:rsidRPr="002C5848">
        <w:rPr>
          <w:sz w:val="22"/>
          <w:szCs w:val="22"/>
        </w:rPr>
        <w:t>(IRS Employe</w:t>
      </w:r>
      <w:r w:rsidR="00E65C50" w:rsidRPr="002C5848">
        <w:rPr>
          <w:sz w:val="22"/>
          <w:szCs w:val="22"/>
        </w:rPr>
        <w:t xml:space="preserve">r </w:t>
      </w:r>
    </w:p>
    <w:p w14:paraId="29B1C1AD" w14:textId="79DB31F1" w:rsidR="00A51F81" w:rsidRPr="002C5848" w:rsidRDefault="00E65C50" w:rsidP="00E65C50">
      <w:pPr>
        <w:tabs>
          <w:tab w:val="center" w:pos="1800"/>
          <w:tab w:val="center" w:pos="4680"/>
          <w:tab w:val="center" w:pos="7560"/>
        </w:tabs>
        <w:rPr>
          <w:sz w:val="22"/>
          <w:szCs w:val="22"/>
        </w:rPr>
      </w:pPr>
      <w:r w:rsidRPr="002C5848">
        <w:rPr>
          <w:sz w:val="22"/>
          <w:szCs w:val="22"/>
        </w:rPr>
        <w:tab/>
        <w:t>of incorporation)</w:t>
      </w:r>
      <w:r w:rsidRPr="002C5848">
        <w:rPr>
          <w:sz w:val="22"/>
          <w:szCs w:val="22"/>
        </w:rPr>
        <w:tab/>
        <w:t>File Number</w:t>
      </w:r>
      <w:r w:rsidRPr="002C5848">
        <w:rPr>
          <w:sz w:val="22"/>
          <w:szCs w:val="22"/>
        </w:rPr>
        <w:tab/>
      </w:r>
      <w:r w:rsidR="00A51F81" w:rsidRPr="002C5848">
        <w:rPr>
          <w:sz w:val="22"/>
          <w:szCs w:val="22"/>
        </w:rPr>
        <w:t>Identification Number)</w:t>
      </w:r>
    </w:p>
    <w:p w14:paraId="309A8984" w14:textId="2A17A89E" w:rsidR="00A51F81" w:rsidRPr="002C5848" w:rsidRDefault="00AA2ED4" w:rsidP="00E65C50">
      <w:pPr>
        <w:tabs>
          <w:tab w:val="center" w:pos="1440"/>
          <w:tab w:val="center" w:pos="4320"/>
          <w:tab w:val="center" w:pos="6480"/>
        </w:tabs>
        <w:rPr>
          <w:sz w:val="22"/>
          <w:szCs w:val="22"/>
        </w:rPr>
      </w:pPr>
      <w:r w:rsidRPr="002C5848">
        <w:rPr>
          <w:sz w:val="22"/>
          <w:szCs w:val="22"/>
        </w:rPr>
        <w:tab/>
      </w:r>
      <w:r w:rsidR="00DA21EC" w:rsidRPr="002C5848">
        <w:rPr>
          <w:sz w:val="22"/>
          <w:szCs w:val="22"/>
        </w:rPr>
        <w:t xml:space="preserve"> </w:t>
      </w:r>
      <w:r w:rsidR="00DA21EC" w:rsidRPr="002C5848">
        <w:rPr>
          <w:sz w:val="22"/>
          <w:szCs w:val="22"/>
        </w:rPr>
        <w:tab/>
      </w:r>
    </w:p>
    <w:p w14:paraId="339A5CD4" w14:textId="59D1D994" w:rsidR="00A51F81" w:rsidRPr="002C5848" w:rsidRDefault="00A51F81" w:rsidP="005354B8">
      <w:pPr>
        <w:tabs>
          <w:tab w:val="center" w:pos="2880"/>
        </w:tabs>
        <w:jc w:val="center"/>
        <w:rPr>
          <w:b/>
          <w:bCs/>
          <w:sz w:val="22"/>
          <w:szCs w:val="22"/>
          <w:u w:val="single"/>
        </w:rPr>
      </w:pPr>
      <w:r w:rsidRPr="002C5848">
        <w:rPr>
          <w:b/>
          <w:bCs/>
          <w:sz w:val="22"/>
          <w:szCs w:val="22"/>
          <w:u w:val="single"/>
        </w:rPr>
        <w:t>5059 N.E. 18</w:t>
      </w:r>
      <w:r w:rsidRPr="002C5848">
        <w:rPr>
          <w:b/>
          <w:bCs/>
          <w:sz w:val="22"/>
          <w:szCs w:val="22"/>
          <w:u w:val="single"/>
          <w:vertAlign w:val="superscript"/>
        </w:rPr>
        <w:t>th</w:t>
      </w:r>
      <w:r w:rsidRPr="002C5848">
        <w:rPr>
          <w:b/>
          <w:bCs/>
          <w:sz w:val="22"/>
          <w:szCs w:val="22"/>
          <w:u w:val="single"/>
        </w:rPr>
        <w:t xml:space="preserve"> Avenue, Fort Lauderdale, Florida</w:t>
      </w:r>
      <w:r w:rsidR="005354B8">
        <w:rPr>
          <w:b/>
          <w:bCs/>
          <w:sz w:val="22"/>
          <w:szCs w:val="22"/>
          <w:u w:val="single"/>
        </w:rPr>
        <w:t xml:space="preserve"> </w:t>
      </w:r>
      <w:r w:rsidRPr="002C5848">
        <w:rPr>
          <w:b/>
          <w:bCs/>
          <w:sz w:val="22"/>
          <w:szCs w:val="22"/>
          <w:u w:val="single"/>
        </w:rPr>
        <w:t>33334</w:t>
      </w:r>
    </w:p>
    <w:p w14:paraId="43E7FC9E" w14:textId="01A6BAA7" w:rsidR="00A51F81" w:rsidRPr="002C5848" w:rsidRDefault="00A51F81" w:rsidP="005354B8">
      <w:pPr>
        <w:tabs>
          <w:tab w:val="center" w:pos="2880"/>
        </w:tabs>
        <w:jc w:val="center"/>
        <w:rPr>
          <w:sz w:val="22"/>
          <w:szCs w:val="22"/>
        </w:rPr>
      </w:pPr>
      <w:r w:rsidRPr="002C5848">
        <w:rPr>
          <w:sz w:val="22"/>
          <w:szCs w:val="22"/>
        </w:rPr>
        <w:t>(Address of principal executive office</w:t>
      </w:r>
      <w:r w:rsidR="005354B8">
        <w:rPr>
          <w:sz w:val="22"/>
          <w:szCs w:val="22"/>
        </w:rPr>
        <w:t xml:space="preserve"> and ZIP c</w:t>
      </w:r>
      <w:r w:rsidR="00E65C50" w:rsidRPr="002C5848">
        <w:rPr>
          <w:sz w:val="22"/>
          <w:szCs w:val="22"/>
        </w:rPr>
        <w:t>ode</w:t>
      </w:r>
      <w:r w:rsidR="005354B8">
        <w:rPr>
          <w:sz w:val="22"/>
          <w:szCs w:val="22"/>
        </w:rPr>
        <w:t>)</w:t>
      </w:r>
    </w:p>
    <w:p w14:paraId="35D31DCE" w14:textId="77777777" w:rsidR="00A51F81" w:rsidRPr="002C5848" w:rsidRDefault="00A51F81">
      <w:pPr>
        <w:rPr>
          <w:sz w:val="22"/>
          <w:szCs w:val="22"/>
          <w:u w:val="single"/>
        </w:rPr>
      </w:pPr>
    </w:p>
    <w:p w14:paraId="7F2B2A98" w14:textId="3734AED1" w:rsidR="00A51F81" w:rsidRPr="002C5848" w:rsidRDefault="00E65C50" w:rsidP="005354B8">
      <w:pPr>
        <w:jc w:val="center"/>
        <w:rPr>
          <w:sz w:val="22"/>
          <w:szCs w:val="22"/>
        </w:rPr>
      </w:pPr>
      <w:r w:rsidRPr="002C5848">
        <w:rPr>
          <w:sz w:val="22"/>
          <w:szCs w:val="22"/>
        </w:rPr>
        <w:t xml:space="preserve">Registrant’s telephone number, including area code): </w:t>
      </w:r>
      <w:r w:rsidR="00A51F81" w:rsidRPr="002C5848">
        <w:rPr>
          <w:b/>
          <w:bCs/>
          <w:sz w:val="22"/>
          <w:szCs w:val="22"/>
        </w:rPr>
        <w:t>(954) 377-1961</w:t>
      </w:r>
    </w:p>
    <w:p w14:paraId="360E035A" w14:textId="6C09A9EF" w:rsidR="00A51F81" w:rsidRPr="002C5848" w:rsidRDefault="00246EE4" w:rsidP="00246EE4">
      <w:pPr>
        <w:ind w:left="1440" w:firstLine="720"/>
        <w:jc w:val="center"/>
        <w:rPr>
          <w:sz w:val="22"/>
          <w:szCs w:val="22"/>
        </w:rPr>
      </w:pPr>
      <w:r w:rsidRPr="002C5848">
        <w:rPr>
          <w:sz w:val="22"/>
          <w:szCs w:val="22"/>
        </w:rPr>
        <w:tab/>
      </w:r>
      <w:r w:rsidRPr="002C5848">
        <w:rPr>
          <w:sz w:val="22"/>
          <w:szCs w:val="22"/>
        </w:rPr>
        <w:tab/>
      </w:r>
      <w:r w:rsidRPr="002C5848">
        <w:rPr>
          <w:sz w:val="22"/>
          <w:szCs w:val="22"/>
        </w:rPr>
        <w:tab/>
      </w:r>
    </w:p>
    <w:p w14:paraId="6320ED44" w14:textId="49CA3FE8" w:rsidR="00A51F81" w:rsidRPr="002C5848" w:rsidRDefault="00A51F81" w:rsidP="00D924BA">
      <w:pPr>
        <w:rPr>
          <w:sz w:val="22"/>
          <w:szCs w:val="22"/>
        </w:rPr>
      </w:pPr>
      <w:r w:rsidRPr="002C5848">
        <w:rPr>
          <w:sz w:val="22"/>
          <w:szCs w:val="22"/>
        </w:rPr>
        <w:t>Check the appropriate box below if this Form 8-K filing is intended to simultaneously satisfy the filing obligation of the registrant under any of the following provisions:</w:t>
      </w:r>
    </w:p>
    <w:p w14:paraId="6F028936" w14:textId="77777777" w:rsidR="00E65C50" w:rsidRPr="002C5848" w:rsidRDefault="00E65C50" w:rsidP="00D924BA">
      <w:pPr>
        <w:rPr>
          <w:sz w:val="22"/>
          <w:szCs w:val="22"/>
        </w:rPr>
      </w:pPr>
    </w:p>
    <w:p w14:paraId="013B3E12" w14:textId="418D3CE4" w:rsidR="00A51F81" w:rsidRPr="002C5848" w:rsidRDefault="00E65C50" w:rsidP="00E65C50">
      <w:pPr>
        <w:ind w:left="270" w:hanging="270"/>
        <w:rPr>
          <w:sz w:val="22"/>
          <w:szCs w:val="22"/>
        </w:rPr>
      </w:pPr>
      <w:r w:rsidRPr="002C5848">
        <w:rPr>
          <w:sz w:val="22"/>
          <w:szCs w:val="22"/>
        </w:rPr>
        <w:t xml:space="preserve">[  ] </w:t>
      </w:r>
      <w:r w:rsidR="00A51F81" w:rsidRPr="002C5848">
        <w:rPr>
          <w:sz w:val="22"/>
          <w:szCs w:val="22"/>
        </w:rPr>
        <w:t>Written communication pursuant to Rule 425 under the Securities Act (17 CFR 240.425)</w:t>
      </w:r>
    </w:p>
    <w:p w14:paraId="58C8EF63" w14:textId="7947A7AA" w:rsidR="00A51F81" w:rsidRPr="002C5848" w:rsidRDefault="00E65C50" w:rsidP="00E65C50">
      <w:pPr>
        <w:ind w:left="270" w:hanging="270"/>
        <w:rPr>
          <w:sz w:val="22"/>
          <w:szCs w:val="22"/>
        </w:rPr>
      </w:pPr>
      <w:r w:rsidRPr="002C5848">
        <w:rPr>
          <w:sz w:val="22"/>
          <w:szCs w:val="22"/>
        </w:rPr>
        <w:t xml:space="preserve">[  ] </w:t>
      </w:r>
      <w:r w:rsidR="00A51F81" w:rsidRPr="002C5848">
        <w:rPr>
          <w:sz w:val="22"/>
          <w:szCs w:val="22"/>
        </w:rPr>
        <w:t>Soliciting material pursuant to Rule14a-12 under the Exchange Act (17 CFR 240.14a-12)</w:t>
      </w:r>
    </w:p>
    <w:p w14:paraId="2F94814F" w14:textId="68582FF9" w:rsidR="00A51F81" w:rsidRPr="002C5848" w:rsidRDefault="00E65C50" w:rsidP="00E65C50">
      <w:pPr>
        <w:ind w:left="270" w:hanging="270"/>
        <w:rPr>
          <w:sz w:val="22"/>
          <w:szCs w:val="22"/>
        </w:rPr>
      </w:pPr>
      <w:r w:rsidRPr="002C5848">
        <w:rPr>
          <w:sz w:val="22"/>
          <w:szCs w:val="22"/>
        </w:rPr>
        <w:t xml:space="preserve">[  ] </w:t>
      </w:r>
      <w:r w:rsidR="00A51F81" w:rsidRPr="002C5848">
        <w:rPr>
          <w:sz w:val="22"/>
          <w:szCs w:val="22"/>
        </w:rPr>
        <w:t>Pre-commencement communications pursuant to Rule 14d-2(b) under the</w:t>
      </w:r>
      <w:r w:rsidR="00D924BA" w:rsidRPr="002C5848">
        <w:rPr>
          <w:sz w:val="22"/>
          <w:szCs w:val="22"/>
        </w:rPr>
        <w:t xml:space="preserve"> Exchange Act (17 </w:t>
      </w:r>
      <w:r w:rsidRPr="002C5848">
        <w:rPr>
          <w:sz w:val="22"/>
          <w:szCs w:val="22"/>
        </w:rPr>
        <w:t>CFR 240.14d-2(b))</w:t>
      </w:r>
      <w:r w:rsidR="00A51F81" w:rsidRPr="002C5848">
        <w:rPr>
          <w:sz w:val="22"/>
          <w:szCs w:val="22"/>
        </w:rPr>
        <w:tab/>
      </w:r>
    </w:p>
    <w:p w14:paraId="57EADD04" w14:textId="363F2CE7" w:rsidR="00BA38AD" w:rsidRPr="002C5848" w:rsidRDefault="00E65C50" w:rsidP="0008183A">
      <w:pPr>
        <w:ind w:left="270" w:hanging="270"/>
        <w:rPr>
          <w:sz w:val="22"/>
          <w:szCs w:val="22"/>
        </w:rPr>
      </w:pPr>
      <w:r w:rsidRPr="002C5848">
        <w:rPr>
          <w:sz w:val="22"/>
          <w:szCs w:val="22"/>
        </w:rPr>
        <w:t xml:space="preserve">[  ] </w:t>
      </w:r>
      <w:r w:rsidR="00A51F81" w:rsidRPr="002C5848">
        <w:rPr>
          <w:sz w:val="22"/>
          <w:szCs w:val="22"/>
        </w:rPr>
        <w:t>Pre-commencement communications pursuant to Rule 13e-4(c) und</w:t>
      </w:r>
      <w:r w:rsidR="00D924BA" w:rsidRPr="002C5848">
        <w:rPr>
          <w:sz w:val="22"/>
          <w:szCs w:val="22"/>
        </w:rPr>
        <w:t>er the Exchange Act (17</w:t>
      </w:r>
      <w:r w:rsidR="00A51F81" w:rsidRPr="002C5848">
        <w:rPr>
          <w:sz w:val="22"/>
          <w:szCs w:val="22"/>
        </w:rPr>
        <w:t xml:space="preserve"> CFR 240.13e-4(c))</w:t>
      </w:r>
      <w:r w:rsidR="00A51F81" w:rsidRPr="002C5848">
        <w:rPr>
          <w:sz w:val="22"/>
          <w:szCs w:val="22"/>
        </w:rPr>
        <w:tab/>
      </w:r>
      <w:r w:rsidR="00A51F81" w:rsidRPr="002C5848">
        <w:rPr>
          <w:sz w:val="22"/>
          <w:szCs w:val="22"/>
        </w:rPr>
        <w:tab/>
      </w:r>
      <w:r w:rsidR="00A51F81" w:rsidRPr="002C5848">
        <w:rPr>
          <w:sz w:val="22"/>
          <w:szCs w:val="22"/>
        </w:rPr>
        <w:tab/>
      </w:r>
      <w:r w:rsidR="00A51F81" w:rsidRPr="002C5848">
        <w:rPr>
          <w:sz w:val="22"/>
          <w:szCs w:val="22"/>
        </w:rPr>
        <w:tab/>
      </w:r>
    </w:p>
    <w:p w14:paraId="4FD24859" w14:textId="77777777" w:rsidR="0008183A" w:rsidRPr="002C5848" w:rsidRDefault="0008183A" w:rsidP="00D924BA">
      <w:pPr>
        <w:rPr>
          <w:b/>
          <w:bCs/>
          <w:sz w:val="22"/>
          <w:szCs w:val="22"/>
        </w:rPr>
      </w:pPr>
    </w:p>
    <w:p w14:paraId="682DBEFD" w14:textId="090CEC4F" w:rsidR="00D924BA" w:rsidRPr="002C5848" w:rsidRDefault="00D924BA" w:rsidP="00D924BA">
      <w:pPr>
        <w:rPr>
          <w:b/>
          <w:bCs/>
          <w:sz w:val="22"/>
          <w:szCs w:val="22"/>
        </w:rPr>
      </w:pPr>
      <w:r w:rsidRPr="002C5848">
        <w:rPr>
          <w:b/>
          <w:bCs/>
          <w:sz w:val="22"/>
          <w:szCs w:val="22"/>
        </w:rPr>
        <w:t>Securities registered pursuant to Section 12(b) of the Act:</w:t>
      </w:r>
    </w:p>
    <w:p w14:paraId="3E04D643" w14:textId="77777777" w:rsidR="00D924BA" w:rsidRPr="002C5848" w:rsidRDefault="00D924BA" w:rsidP="00D924BA">
      <w:pPr>
        <w:jc w:val="center"/>
        <w:rPr>
          <w:b/>
          <w:bCs/>
          <w:sz w:val="22"/>
          <w:szCs w:val="22"/>
        </w:rPr>
      </w:pPr>
      <w:r w:rsidRPr="002C5848">
        <w:rPr>
          <w:b/>
          <w:bCs/>
          <w:sz w:val="22"/>
          <w:szCs w:val="22"/>
        </w:rPr>
        <w:t xml:space="preserve"> </w:t>
      </w:r>
    </w:p>
    <w:tbl>
      <w:tblPr>
        <w:tblStyle w:val="TableGrid"/>
        <w:tblW w:w="9625" w:type="dxa"/>
        <w:tblLook w:val="04A0" w:firstRow="1" w:lastRow="0" w:firstColumn="1" w:lastColumn="0" w:noHBand="0" w:noVBand="1"/>
      </w:tblPr>
      <w:tblGrid>
        <w:gridCol w:w="3145"/>
        <w:gridCol w:w="1980"/>
        <w:gridCol w:w="4500"/>
      </w:tblGrid>
      <w:tr w:rsidR="00D924BA" w:rsidRPr="002C5848" w14:paraId="1A55C313" w14:textId="77777777" w:rsidTr="005354B8">
        <w:tc>
          <w:tcPr>
            <w:tcW w:w="3145" w:type="dxa"/>
          </w:tcPr>
          <w:p w14:paraId="5A9CA6D3" w14:textId="2C37FF29" w:rsidR="0008183A" w:rsidRPr="002C5848" w:rsidRDefault="00D924BA" w:rsidP="0008183A">
            <w:pPr>
              <w:jc w:val="center"/>
              <w:rPr>
                <w:b/>
                <w:bCs/>
                <w:sz w:val="22"/>
                <w:szCs w:val="22"/>
              </w:rPr>
            </w:pPr>
            <w:r w:rsidRPr="002C5848">
              <w:rPr>
                <w:b/>
                <w:bCs/>
                <w:sz w:val="22"/>
                <w:szCs w:val="22"/>
              </w:rPr>
              <w:t>Title of each class</w:t>
            </w:r>
          </w:p>
        </w:tc>
        <w:tc>
          <w:tcPr>
            <w:tcW w:w="1980" w:type="dxa"/>
          </w:tcPr>
          <w:p w14:paraId="46B8C85D" w14:textId="0E53B161" w:rsidR="00D924BA" w:rsidRPr="002C5848" w:rsidRDefault="00D924BA" w:rsidP="005354B8">
            <w:pPr>
              <w:jc w:val="center"/>
              <w:rPr>
                <w:b/>
                <w:bCs/>
                <w:sz w:val="22"/>
                <w:szCs w:val="22"/>
              </w:rPr>
            </w:pPr>
            <w:r w:rsidRPr="002C5848">
              <w:rPr>
                <w:b/>
                <w:bCs/>
                <w:sz w:val="22"/>
                <w:szCs w:val="22"/>
              </w:rPr>
              <w:t>Trading</w:t>
            </w:r>
            <w:r w:rsidR="005354B8">
              <w:rPr>
                <w:b/>
                <w:bCs/>
                <w:sz w:val="22"/>
                <w:szCs w:val="22"/>
              </w:rPr>
              <w:t xml:space="preserve"> </w:t>
            </w:r>
            <w:r w:rsidRPr="002C5848">
              <w:rPr>
                <w:b/>
                <w:bCs/>
                <w:sz w:val="22"/>
                <w:szCs w:val="22"/>
              </w:rPr>
              <w:t>symbol(s)</w:t>
            </w:r>
          </w:p>
        </w:tc>
        <w:tc>
          <w:tcPr>
            <w:tcW w:w="4500" w:type="dxa"/>
          </w:tcPr>
          <w:p w14:paraId="39EB7E36" w14:textId="2BC1B6C4" w:rsidR="00D924BA" w:rsidRPr="002C5848" w:rsidRDefault="0008183A" w:rsidP="0008183A">
            <w:pPr>
              <w:jc w:val="center"/>
              <w:rPr>
                <w:b/>
                <w:bCs/>
                <w:sz w:val="22"/>
                <w:szCs w:val="22"/>
              </w:rPr>
            </w:pPr>
            <w:r w:rsidRPr="002C5848">
              <w:rPr>
                <w:b/>
                <w:bCs/>
                <w:sz w:val="22"/>
                <w:szCs w:val="22"/>
              </w:rPr>
              <w:t>Name of each e</w:t>
            </w:r>
            <w:r w:rsidR="00D924BA" w:rsidRPr="002C5848">
              <w:rPr>
                <w:b/>
                <w:bCs/>
                <w:sz w:val="22"/>
                <w:szCs w:val="22"/>
              </w:rPr>
              <w:t xml:space="preserve">xchange </w:t>
            </w:r>
            <w:r w:rsidR="00246EE4" w:rsidRPr="002C5848">
              <w:rPr>
                <w:b/>
                <w:bCs/>
                <w:sz w:val="22"/>
                <w:szCs w:val="22"/>
              </w:rPr>
              <w:t>on which registered</w:t>
            </w:r>
          </w:p>
        </w:tc>
      </w:tr>
      <w:tr w:rsidR="00D924BA" w:rsidRPr="002C5848" w14:paraId="41A18E69" w14:textId="77777777" w:rsidTr="005354B8">
        <w:tc>
          <w:tcPr>
            <w:tcW w:w="3145" w:type="dxa"/>
          </w:tcPr>
          <w:p w14:paraId="67296121" w14:textId="77777777" w:rsidR="00D924BA" w:rsidRPr="002C5848" w:rsidRDefault="00D924BA" w:rsidP="0008183A">
            <w:pPr>
              <w:autoSpaceDE/>
              <w:autoSpaceDN/>
              <w:adjustRightInd/>
              <w:jc w:val="center"/>
              <w:rPr>
                <w:sz w:val="22"/>
                <w:szCs w:val="22"/>
              </w:rPr>
            </w:pPr>
            <w:r w:rsidRPr="002C5848">
              <w:rPr>
                <w:sz w:val="22"/>
                <w:szCs w:val="22"/>
              </w:rPr>
              <w:t>Common Stock, $0.10 par value</w:t>
            </w:r>
          </w:p>
        </w:tc>
        <w:tc>
          <w:tcPr>
            <w:tcW w:w="1980" w:type="dxa"/>
          </w:tcPr>
          <w:p w14:paraId="398015CA" w14:textId="77777777" w:rsidR="00D924BA" w:rsidRPr="002C5848" w:rsidRDefault="00D924BA" w:rsidP="0008183A">
            <w:pPr>
              <w:autoSpaceDE/>
              <w:autoSpaceDN/>
              <w:adjustRightInd/>
              <w:jc w:val="center"/>
              <w:rPr>
                <w:sz w:val="22"/>
                <w:szCs w:val="22"/>
              </w:rPr>
            </w:pPr>
            <w:r w:rsidRPr="002C5848">
              <w:rPr>
                <w:sz w:val="22"/>
                <w:szCs w:val="22"/>
              </w:rPr>
              <w:t>BDL</w:t>
            </w:r>
          </w:p>
        </w:tc>
        <w:tc>
          <w:tcPr>
            <w:tcW w:w="4500" w:type="dxa"/>
          </w:tcPr>
          <w:p w14:paraId="01D0C851" w14:textId="77777777" w:rsidR="00D924BA" w:rsidRPr="002C5848" w:rsidRDefault="00D924BA" w:rsidP="0008183A">
            <w:pPr>
              <w:autoSpaceDE/>
              <w:autoSpaceDN/>
              <w:adjustRightInd/>
              <w:jc w:val="center"/>
              <w:rPr>
                <w:sz w:val="22"/>
                <w:szCs w:val="22"/>
              </w:rPr>
            </w:pPr>
            <w:r w:rsidRPr="002C5848">
              <w:rPr>
                <w:sz w:val="22"/>
                <w:szCs w:val="22"/>
              </w:rPr>
              <w:t>NYSE AMERICAN</w:t>
            </w:r>
          </w:p>
        </w:tc>
      </w:tr>
    </w:tbl>
    <w:p w14:paraId="6DE13AD2" w14:textId="77777777" w:rsidR="00D924BA" w:rsidRPr="002C5848" w:rsidRDefault="00D924BA" w:rsidP="00D924BA">
      <w:pPr>
        <w:jc w:val="both"/>
        <w:rPr>
          <w:b/>
          <w:bCs/>
          <w:sz w:val="22"/>
          <w:szCs w:val="22"/>
        </w:rPr>
      </w:pPr>
      <w:r w:rsidRPr="002C5848">
        <w:rPr>
          <w:b/>
          <w:bCs/>
          <w:sz w:val="22"/>
          <w:szCs w:val="22"/>
        </w:rPr>
        <w:tab/>
      </w:r>
    </w:p>
    <w:p w14:paraId="3197256F" w14:textId="77777777" w:rsidR="0008183A" w:rsidRPr="002C5848" w:rsidRDefault="00D924BA" w:rsidP="0008183A">
      <w:pPr>
        <w:jc w:val="both"/>
        <w:rPr>
          <w:bCs/>
          <w:sz w:val="22"/>
          <w:szCs w:val="22"/>
        </w:rPr>
      </w:pPr>
      <w:r w:rsidRPr="002C5848">
        <w:rPr>
          <w:bCs/>
          <w:sz w:val="22"/>
          <w:szCs w:val="22"/>
        </w:rPr>
        <w:t xml:space="preserve">Indicate by check mark whether the registrant is an emerging growth company as defined in Rule 405 of </w:t>
      </w:r>
      <w:proofErr w:type="gramStart"/>
      <w:r w:rsidRPr="002C5848">
        <w:rPr>
          <w:bCs/>
          <w:sz w:val="22"/>
          <w:szCs w:val="22"/>
        </w:rPr>
        <w:t>the</w:t>
      </w:r>
      <w:proofErr w:type="gramEnd"/>
      <w:r w:rsidRPr="002C5848">
        <w:rPr>
          <w:bCs/>
          <w:sz w:val="22"/>
          <w:szCs w:val="22"/>
        </w:rPr>
        <w:t xml:space="preserve"> Securities Act of 1933 (17 CFR §230.405) or Rule 12b-2 of the Securities Exchange Act of 1934 (17 CFR §240.12b-2).</w:t>
      </w:r>
      <w:r w:rsidR="00DA65FE" w:rsidRPr="002C5848">
        <w:rPr>
          <w:bCs/>
          <w:sz w:val="22"/>
          <w:szCs w:val="22"/>
        </w:rPr>
        <w:t xml:space="preserve">   </w:t>
      </w:r>
    </w:p>
    <w:p w14:paraId="749A719D" w14:textId="07B122F7" w:rsidR="00D924BA" w:rsidRPr="002C5848" w:rsidRDefault="00D924BA" w:rsidP="0008183A">
      <w:pPr>
        <w:jc w:val="right"/>
        <w:rPr>
          <w:bCs/>
          <w:sz w:val="22"/>
          <w:szCs w:val="22"/>
        </w:rPr>
      </w:pPr>
      <w:r w:rsidRPr="002C5848">
        <w:rPr>
          <w:bCs/>
          <w:sz w:val="22"/>
          <w:szCs w:val="22"/>
        </w:rPr>
        <w:t xml:space="preserve">Emerging growth company </w:t>
      </w:r>
      <w:r w:rsidR="0008183A" w:rsidRPr="002C5848">
        <w:rPr>
          <w:sz w:val="22"/>
          <w:szCs w:val="22"/>
        </w:rPr>
        <w:t>[  ]</w:t>
      </w:r>
    </w:p>
    <w:p w14:paraId="64058074" w14:textId="1EF27C9A" w:rsidR="00D924BA" w:rsidRPr="002C5848" w:rsidRDefault="00D924BA" w:rsidP="00D924BA">
      <w:pPr>
        <w:jc w:val="both"/>
        <w:rPr>
          <w:bCs/>
          <w:sz w:val="22"/>
          <w:szCs w:val="22"/>
        </w:rPr>
      </w:pPr>
    </w:p>
    <w:p w14:paraId="2B04D58C" w14:textId="50EE7AA2" w:rsidR="00464AD6" w:rsidRPr="00D5356A" w:rsidRDefault="00D924BA" w:rsidP="00D5356A">
      <w:pPr>
        <w:jc w:val="both"/>
        <w:rPr>
          <w:sz w:val="22"/>
          <w:szCs w:val="22"/>
        </w:rPr>
      </w:pPr>
      <w:r w:rsidRPr="002C5848">
        <w:rPr>
          <w:bCs/>
          <w:sz w:val="22"/>
          <w:szCs w:val="22"/>
        </w:rPr>
        <w:t>If an emerging growth company, indicate by check mark if the registrant has elected not to use the extended transition period for complying with any new or revised financial accounting standards provided pursuant to Sec</w:t>
      </w:r>
      <w:r w:rsidR="0008183A" w:rsidRPr="002C5848">
        <w:rPr>
          <w:bCs/>
          <w:sz w:val="22"/>
          <w:szCs w:val="22"/>
        </w:rPr>
        <w:t>tion 13(a) of the Exchange Act. [  ]</w:t>
      </w:r>
      <w:r w:rsidR="00AA2ED4" w:rsidRPr="00850F8B">
        <w:rPr>
          <w:b/>
          <w:bCs/>
          <w:sz w:val="22"/>
          <w:szCs w:val="22"/>
        </w:rPr>
        <w:br w:type="page"/>
      </w:r>
    </w:p>
    <w:p w14:paraId="28753BC5" w14:textId="6290C602" w:rsidR="00155D65" w:rsidRDefault="00155D65" w:rsidP="008A0A76">
      <w:pPr>
        <w:pStyle w:val="NormalWeb"/>
        <w:spacing w:before="0" w:beforeAutospacing="0" w:after="0" w:afterAutospacing="0"/>
        <w:ind w:firstLine="720"/>
        <w:jc w:val="both"/>
        <w:rPr>
          <w:b/>
          <w:bCs/>
          <w:sz w:val="22"/>
          <w:szCs w:val="22"/>
        </w:rPr>
      </w:pPr>
      <w:bookmarkStart w:id="0" w:name="_Hlk128292353"/>
      <w:r w:rsidRPr="00B24F58">
        <w:rPr>
          <w:b/>
          <w:bCs/>
          <w:sz w:val="22"/>
          <w:szCs w:val="22"/>
        </w:rPr>
        <w:lastRenderedPageBreak/>
        <w:t xml:space="preserve">Item </w:t>
      </w:r>
      <w:r>
        <w:rPr>
          <w:b/>
          <w:bCs/>
          <w:sz w:val="22"/>
          <w:szCs w:val="22"/>
        </w:rPr>
        <w:t>2</w:t>
      </w:r>
      <w:r w:rsidRPr="00B24F58">
        <w:rPr>
          <w:b/>
          <w:bCs/>
          <w:sz w:val="22"/>
          <w:szCs w:val="22"/>
        </w:rPr>
        <w:t>.0</w:t>
      </w:r>
      <w:r>
        <w:rPr>
          <w:b/>
          <w:bCs/>
          <w:sz w:val="22"/>
          <w:szCs w:val="22"/>
        </w:rPr>
        <w:t>4</w:t>
      </w:r>
      <w:r w:rsidR="00CF1971">
        <w:rPr>
          <w:b/>
          <w:bCs/>
          <w:sz w:val="22"/>
          <w:szCs w:val="22"/>
        </w:rPr>
        <w:t xml:space="preserve">  </w:t>
      </w:r>
      <w:r w:rsidR="00CF1971" w:rsidRPr="00CF1971">
        <w:rPr>
          <w:b/>
          <w:bCs/>
          <w:sz w:val="22"/>
          <w:szCs w:val="22"/>
        </w:rPr>
        <w:t>Triggering Events That Accelerate or Increase a Direct Financial Obligation or an Obligation under an Off-Balance Sheet Arrangement</w:t>
      </w:r>
      <w:r w:rsidR="00CF1971" w:rsidRPr="00B40C33">
        <w:rPr>
          <w:b/>
          <w:bCs/>
          <w:sz w:val="22"/>
          <w:szCs w:val="22"/>
        </w:rPr>
        <w:t>.</w:t>
      </w:r>
    </w:p>
    <w:p w14:paraId="5ECC066D" w14:textId="78B3CDF2" w:rsidR="00155D65" w:rsidRDefault="00155D65" w:rsidP="00155D65">
      <w:pPr>
        <w:pStyle w:val="NormalWeb"/>
        <w:spacing w:before="0" w:beforeAutospacing="0" w:after="0" w:afterAutospacing="0"/>
        <w:ind w:firstLine="720"/>
        <w:jc w:val="both"/>
        <w:rPr>
          <w:b/>
          <w:bCs/>
          <w:sz w:val="22"/>
          <w:szCs w:val="22"/>
        </w:rPr>
      </w:pPr>
    </w:p>
    <w:p w14:paraId="405AD341" w14:textId="50CCD092" w:rsidR="00155D65" w:rsidRPr="00B40C33" w:rsidRDefault="00155D65" w:rsidP="00155D65">
      <w:pPr>
        <w:autoSpaceDE/>
        <w:autoSpaceDN/>
        <w:adjustRightInd/>
        <w:ind w:firstLine="720"/>
        <w:jc w:val="both"/>
        <w:rPr>
          <w:sz w:val="22"/>
          <w:szCs w:val="22"/>
        </w:rPr>
      </w:pPr>
      <w:r w:rsidRPr="00B40C33">
        <w:rPr>
          <w:sz w:val="22"/>
          <w:szCs w:val="22"/>
        </w:rPr>
        <w:t xml:space="preserve">*The date of this </w:t>
      </w:r>
      <w:r w:rsidR="008A0A76" w:rsidRPr="00B40C33">
        <w:rPr>
          <w:sz w:val="22"/>
          <w:szCs w:val="22"/>
        </w:rPr>
        <w:t>R</w:t>
      </w:r>
      <w:r w:rsidRPr="00B40C33">
        <w:rPr>
          <w:sz w:val="22"/>
          <w:szCs w:val="22"/>
        </w:rPr>
        <w:t xml:space="preserve">eport is indicated to be February 22, 2023, provided, however, the breach of lender covenant disclosed hereunder may be deemed to have occurred on or about December 31, 2022. </w:t>
      </w:r>
    </w:p>
    <w:p w14:paraId="679D1C05" w14:textId="77777777" w:rsidR="00155D65" w:rsidRPr="00B40C33" w:rsidRDefault="00155D65" w:rsidP="00155D65">
      <w:pPr>
        <w:pStyle w:val="NormalWeb"/>
        <w:spacing w:before="0" w:beforeAutospacing="0" w:after="0" w:afterAutospacing="0"/>
        <w:ind w:firstLine="720"/>
        <w:jc w:val="both"/>
        <w:rPr>
          <w:sz w:val="22"/>
          <w:szCs w:val="22"/>
        </w:rPr>
      </w:pPr>
    </w:p>
    <w:p w14:paraId="2147295C" w14:textId="20D5482D" w:rsidR="00155D65" w:rsidRPr="00B40C33" w:rsidRDefault="00155D65" w:rsidP="00155D65">
      <w:pPr>
        <w:pStyle w:val="NormalWeb"/>
        <w:spacing w:before="0" w:beforeAutospacing="0" w:after="0" w:afterAutospacing="0"/>
        <w:ind w:firstLine="720"/>
        <w:jc w:val="both"/>
        <w:rPr>
          <w:sz w:val="22"/>
          <w:szCs w:val="22"/>
        </w:rPr>
      </w:pPr>
      <w:r w:rsidRPr="00B40C33">
        <w:rPr>
          <w:sz w:val="22"/>
          <w:szCs w:val="22"/>
        </w:rPr>
        <w:t xml:space="preserve">In February 2023, Flanigan’s Enterprises, Inc. (the “Company” or “we”) determined that as of December 31, 2022, we did not meet the required Post-Distribution Basic Fixed Charge Coverage Ratio (the “Post-Distribution/Fixed Charge Covenant”) contained in each of our six (6) loans (the “Institutional Loans”) with our unrelated third party institutional lender (the “Institutional Lender’).   The Post-Distribution/Fixed Charge Covenant requires we maintain a ratio of at least 1.15 to 1.00 and for the twelve (12) months ended December 31, 2022 our ratio was calculated to be 1.13 to 1.00.  On February </w:t>
      </w:r>
      <w:r w:rsidR="001D7DF5">
        <w:rPr>
          <w:sz w:val="22"/>
          <w:szCs w:val="22"/>
        </w:rPr>
        <w:t>23</w:t>
      </w:r>
      <w:r w:rsidRPr="00B40C33">
        <w:rPr>
          <w:sz w:val="22"/>
          <w:szCs w:val="22"/>
        </w:rPr>
        <w:t xml:space="preserve">, 2023, we received from the Institutional Lender, a written waiver of the non-compliance with the Post-Distribution/Fixed Charge Covenant (the “Covenant Non-Compliance”), pursuant to which, among other things, the Institutional Lender waived (1) the non-compliance as of December 31, 2022 and (2) their right to exercise certain remedies under the Institutional Loans.  While we believe we may regain compliance with the Post-Distribution/Fixed Charge Covenant as of the end of our second fiscal quarter of our fiscal year ending September 30, 2023, continued non-compliance with the Post-Distribution/Fixed Charge Covenant or any other covenant(s) to which we are subject and which are contained in the Institutional Loans, grants the Institutional Lender the right to exercise certain remedies under the Institutional Loans, including the right to accelerate the indebtedness owed by us thereunder, resulting in the indebtedness under the Institutional Loans to be immediately due and payable, which would have a material adverse effect on the Company. There can be no assurances that we will be in compliance with our financial covenants contained in the Institutional Loans in future periods. </w:t>
      </w:r>
    </w:p>
    <w:p w14:paraId="06666541" w14:textId="77777777" w:rsidR="00155D65" w:rsidRPr="00B40C33" w:rsidRDefault="00155D65" w:rsidP="00B24F58">
      <w:pPr>
        <w:autoSpaceDE/>
        <w:autoSpaceDN/>
        <w:adjustRightInd/>
        <w:ind w:left="1080" w:hanging="1080"/>
        <w:rPr>
          <w:sz w:val="22"/>
          <w:szCs w:val="22"/>
        </w:rPr>
      </w:pPr>
    </w:p>
    <w:p w14:paraId="4E2030DF" w14:textId="6814F0CA" w:rsidR="00B24F58" w:rsidRPr="00B24F58" w:rsidRDefault="00B24F58" w:rsidP="00B24F58">
      <w:pPr>
        <w:autoSpaceDE/>
        <w:autoSpaceDN/>
        <w:adjustRightInd/>
        <w:ind w:left="1080" w:hanging="1080"/>
        <w:rPr>
          <w:b/>
          <w:bCs/>
          <w:sz w:val="22"/>
          <w:szCs w:val="22"/>
        </w:rPr>
      </w:pPr>
      <w:r w:rsidRPr="00B24F58">
        <w:rPr>
          <w:b/>
          <w:bCs/>
          <w:sz w:val="22"/>
          <w:szCs w:val="22"/>
        </w:rPr>
        <w:t>Item 3.01</w:t>
      </w:r>
      <w:r>
        <w:rPr>
          <w:b/>
          <w:bCs/>
          <w:sz w:val="22"/>
          <w:szCs w:val="22"/>
        </w:rPr>
        <w:tab/>
      </w:r>
      <w:r w:rsidRPr="00B24F58">
        <w:rPr>
          <w:b/>
          <w:bCs/>
          <w:sz w:val="22"/>
          <w:szCs w:val="22"/>
        </w:rPr>
        <w:t>Notice of Delisting or Failure to Satisfy a Continued Listing Rule or Standard; Transfer of Listing.</w:t>
      </w:r>
    </w:p>
    <w:bookmarkEnd w:id="0"/>
    <w:p w14:paraId="19A703CE" w14:textId="77777777" w:rsidR="00026A2D" w:rsidRDefault="00026A2D" w:rsidP="00C67286">
      <w:pPr>
        <w:autoSpaceDE/>
        <w:autoSpaceDN/>
        <w:adjustRightInd/>
        <w:ind w:firstLine="720"/>
        <w:jc w:val="both"/>
      </w:pPr>
    </w:p>
    <w:p w14:paraId="25CFCBAA" w14:textId="77777777" w:rsidR="00155D65" w:rsidRDefault="00155D65" w:rsidP="00C67286">
      <w:pPr>
        <w:autoSpaceDE/>
        <w:autoSpaceDN/>
        <w:adjustRightInd/>
        <w:ind w:firstLine="720"/>
        <w:jc w:val="both"/>
        <w:rPr>
          <w:sz w:val="22"/>
          <w:szCs w:val="22"/>
        </w:rPr>
      </w:pPr>
      <w:r>
        <w:rPr>
          <w:sz w:val="22"/>
          <w:szCs w:val="22"/>
        </w:rPr>
        <w:t xml:space="preserve">The information set forth in Item 2.04 is incorporated herein by reference. </w:t>
      </w:r>
    </w:p>
    <w:p w14:paraId="3392E9D8" w14:textId="77777777" w:rsidR="00155D65" w:rsidRDefault="00155D65" w:rsidP="00C67286">
      <w:pPr>
        <w:autoSpaceDE/>
        <w:autoSpaceDN/>
        <w:adjustRightInd/>
        <w:ind w:firstLine="720"/>
        <w:jc w:val="both"/>
        <w:rPr>
          <w:sz w:val="22"/>
          <w:szCs w:val="22"/>
        </w:rPr>
      </w:pPr>
    </w:p>
    <w:p w14:paraId="4231B33B" w14:textId="28B91AE8" w:rsidR="00B24F58" w:rsidRPr="00B24F58" w:rsidRDefault="00B24F58" w:rsidP="00C67286">
      <w:pPr>
        <w:autoSpaceDE/>
        <w:autoSpaceDN/>
        <w:adjustRightInd/>
        <w:ind w:firstLine="720"/>
        <w:jc w:val="both"/>
        <w:rPr>
          <w:sz w:val="22"/>
          <w:szCs w:val="22"/>
        </w:rPr>
      </w:pPr>
      <w:r w:rsidRPr="00B24F58">
        <w:rPr>
          <w:sz w:val="22"/>
          <w:szCs w:val="22"/>
        </w:rPr>
        <w:t xml:space="preserve">On </w:t>
      </w:r>
      <w:r>
        <w:rPr>
          <w:sz w:val="22"/>
          <w:szCs w:val="22"/>
        </w:rPr>
        <w:t>February 22</w:t>
      </w:r>
      <w:r w:rsidRPr="00B24F58">
        <w:rPr>
          <w:sz w:val="22"/>
          <w:szCs w:val="22"/>
        </w:rPr>
        <w:t>, 20</w:t>
      </w:r>
      <w:r>
        <w:rPr>
          <w:sz w:val="22"/>
          <w:szCs w:val="22"/>
        </w:rPr>
        <w:t>23</w:t>
      </w:r>
      <w:r w:rsidRPr="00B24F58">
        <w:rPr>
          <w:sz w:val="22"/>
          <w:szCs w:val="22"/>
        </w:rPr>
        <w:t xml:space="preserve">, </w:t>
      </w:r>
      <w:r w:rsidR="00155D65">
        <w:rPr>
          <w:sz w:val="22"/>
          <w:szCs w:val="22"/>
        </w:rPr>
        <w:t xml:space="preserve">we </w:t>
      </w:r>
      <w:r w:rsidRPr="00B24F58">
        <w:rPr>
          <w:sz w:val="22"/>
          <w:szCs w:val="22"/>
        </w:rPr>
        <w:t xml:space="preserve">received a notice of noncompliance from the NYSE American LLC (the “Exchange”) stating that </w:t>
      </w:r>
      <w:r w:rsidR="00026A2D">
        <w:rPr>
          <w:sz w:val="22"/>
          <w:szCs w:val="22"/>
        </w:rPr>
        <w:t>we are</w:t>
      </w:r>
      <w:r w:rsidRPr="00B24F58">
        <w:rPr>
          <w:sz w:val="22"/>
          <w:szCs w:val="22"/>
        </w:rPr>
        <w:t xml:space="preserve"> not in compliance with the Exchange’s continued listing standards under the timely filing criteria outlined in Section 1007 of the Exchange’s Company Guide (the “Company Guide”) because </w:t>
      </w:r>
      <w:r w:rsidR="00155D65">
        <w:rPr>
          <w:sz w:val="22"/>
          <w:szCs w:val="22"/>
        </w:rPr>
        <w:t>we</w:t>
      </w:r>
      <w:r w:rsidRPr="00B24F58">
        <w:rPr>
          <w:sz w:val="22"/>
          <w:szCs w:val="22"/>
        </w:rPr>
        <w:t xml:space="preserve"> failed to timely file </w:t>
      </w:r>
      <w:r w:rsidR="00155D65">
        <w:rPr>
          <w:sz w:val="22"/>
          <w:szCs w:val="22"/>
        </w:rPr>
        <w:t xml:space="preserve">our </w:t>
      </w:r>
      <w:r w:rsidRPr="00B24F58">
        <w:rPr>
          <w:sz w:val="22"/>
          <w:szCs w:val="22"/>
        </w:rPr>
        <w:t xml:space="preserve"> </w:t>
      </w:r>
      <w:r>
        <w:rPr>
          <w:sz w:val="22"/>
          <w:szCs w:val="22"/>
        </w:rPr>
        <w:t xml:space="preserve">Quarterly </w:t>
      </w:r>
      <w:r w:rsidRPr="00B24F58">
        <w:rPr>
          <w:sz w:val="22"/>
          <w:szCs w:val="22"/>
        </w:rPr>
        <w:t>Report on Form 10-</w:t>
      </w:r>
      <w:r w:rsidR="00C67FF0">
        <w:rPr>
          <w:sz w:val="22"/>
          <w:szCs w:val="22"/>
        </w:rPr>
        <w:t>Q</w:t>
      </w:r>
      <w:r w:rsidRPr="00B24F58">
        <w:rPr>
          <w:sz w:val="22"/>
          <w:szCs w:val="22"/>
        </w:rPr>
        <w:t xml:space="preserve"> for the </w:t>
      </w:r>
      <w:r w:rsidR="00C67FF0">
        <w:rPr>
          <w:sz w:val="22"/>
          <w:szCs w:val="22"/>
        </w:rPr>
        <w:t xml:space="preserve">period </w:t>
      </w:r>
      <w:r w:rsidRPr="00B24F58">
        <w:rPr>
          <w:sz w:val="22"/>
          <w:szCs w:val="22"/>
        </w:rPr>
        <w:t xml:space="preserve">ended December </w:t>
      </w:r>
      <w:r w:rsidR="00C67FF0">
        <w:rPr>
          <w:sz w:val="22"/>
          <w:szCs w:val="22"/>
        </w:rPr>
        <w:t>31</w:t>
      </w:r>
      <w:r w:rsidRPr="00B24F58">
        <w:rPr>
          <w:sz w:val="22"/>
          <w:szCs w:val="22"/>
        </w:rPr>
        <w:t>, 20</w:t>
      </w:r>
      <w:r w:rsidR="00C67FF0">
        <w:rPr>
          <w:sz w:val="22"/>
          <w:szCs w:val="22"/>
        </w:rPr>
        <w:t>22</w:t>
      </w:r>
      <w:r w:rsidRPr="00B24F58">
        <w:rPr>
          <w:sz w:val="22"/>
          <w:szCs w:val="22"/>
        </w:rPr>
        <w:t xml:space="preserve"> (the "</w:t>
      </w:r>
      <w:r w:rsidR="00C67FF0">
        <w:rPr>
          <w:sz w:val="22"/>
          <w:szCs w:val="22"/>
        </w:rPr>
        <w:t xml:space="preserve">Delayed </w:t>
      </w:r>
      <w:r w:rsidRPr="00B24F58">
        <w:rPr>
          <w:sz w:val="22"/>
          <w:szCs w:val="22"/>
        </w:rPr>
        <w:t>Form 10-</w:t>
      </w:r>
      <w:r w:rsidR="00C67FF0">
        <w:rPr>
          <w:sz w:val="22"/>
          <w:szCs w:val="22"/>
        </w:rPr>
        <w:t>Q</w:t>
      </w:r>
      <w:r w:rsidRPr="00B24F58">
        <w:rPr>
          <w:sz w:val="22"/>
          <w:szCs w:val="22"/>
        </w:rPr>
        <w:t xml:space="preserve">"), which was due to be filed with the Securities and Exchange Commission (“SEC”) no later than </w:t>
      </w:r>
      <w:r w:rsidR="00026A2D">
        <w:rPr>
          <w:sz w:val="22"/>
          <w:szCs w:val="22"/>
        </w:rPr>
        <w:t>February</w:t>
      </w:r>
      <w:r w:rsidR="0055196F">
        <w:rPr>
          <w:sz w:val="22"/>
          <w:szCs w:val="22"/>
        </w:rPr>
        <w:t xml:space="preserve"> 21</w:t>
      </w:r>
      <w:r w:rsidR="00026A2D">
        <w:rPr>
          <w:sz w:val="22"/>
          <w:szCs w:val="22"/>
        </w:rPr>
        <w:t xml:space="preserve">, </w:t>
      </w:r>
      <w:r w:rsidR="00C67FF0">
        <w:rPr>
          <w:sz w:val="22"/>
          <w:szCs w:val="22"/>
        </w:rPr>
        <w:t>2023</w:t>
      </w:r>
      <w:r w:rsidRPr="00B24F58">
        <w:rPr>
          <w:sz w:val="22"/>
          <w:szCs w:val="22"/>
        </w:rPr>
        <w:t xml:space="preserve"> (the “Filing Delinquency”).</w:t>
      </w:r>
    </w:p>
    <w:p w14:paraId="07B5C191" w14:textId="77777777" w:rsidR="00B24F58" w:rsidRPr="00B24F58" w:rsidRDefault="00B24F58" w:rsidP="00C67286">
      <w:pPr>
        <w:autoSpaceDE/>
        <w:autoSpaceDN/>
        <w:adjustRightInd/>
        <w:ind w:left="1080" w:hanging="1080"/>
        <w:jc w:val="both"/>
        <w:rPr>
          <w:sz w:val="22"/>
          <w:szCs w:val="22"/>
        </w:rPr>
      </w:pPr>
    </w:p>
    <w:p w14:paraId="079B155F" w14:textId="207DFA65" w:rsidR="00C67FF0" w:rsidRDefault="00155D65" w:rsidP="00C67286">
      <w:pPr>
        <w:autoSpaceDE/>
        <w:autoSpaceDN/>
        <w:adjustRightInd/>
        <w:ind w:firstLine="720"/>
        <w:jc w:val="both"/>
        <w:rPr>
          <w:sz w:val="22"/>
          <w:szCs w:val="22"/>
        </w:rPr>
      </w:pPr>
      <w:r>
        <w:rPr>
          <w:sz w:val="22"/>
          <w:szCs w:val="22"/>
        </w:rPr>
        <w:t xml:space="preserve">We have </w:t>
      </w:r>
      <w:r w:rsidR="00B24F58" w:rsidRPr="00B24F58">
        <w:rPr>
          <w:sz w:val="22"/>
          <w:szCs w:val="22"/>
        </w:rPr>
        <w:t xml:space="preserve">been unable to file the Delayed Form </w:t>
      </w:r>
      <w:r w:rsidR="00C67286">
        <w:rPr>
          <w:sz w:val="22"/>
          <w:szCs w:val="22"/>
        </w:rPr>
        <w:t>10-Q</w:t>
      </w:r>
      <w:r w:rsidR="00B24F58" w:rsidRPr="00B24F58">
        <w:rPr>
          <w:sz w:val="22"/>
          <w:szCs w:val="22"/>
        </w:rPr>
        <w:t xml:space="preserve"> because additional time is needed to finalize the Delayed Form 10-</w:t>
      </w:r>
      <w:r w:rsidR="00C67FF0">
        <w:rPr>
          <w:sz w:val="22"/>
          <w:szCs w:val="22"/>
        </w:rPr>
        <w:t>Q</w:t>
      </w:r>
      <w:r w:rsidR="00B24F58" w:rsidRPr="00B24F58">
        <w:rPr>
          <w:sz w:val="22"/>
          <w:szCs w:val="22"/>
        </w:rPr>
        <w:t xml:space="preserve"> and furnish the XBRL Interactive Data File exhibits required by Item 601(b)(101) of Regulation S-K.</w:t>
      </w:r>
    </w:p>
    <w:p w14:paraId="1DC98861" w14:textId="5781A3E4" w:rsidR="00026A2D" w:rsidRDefault="00026A2D" w:rsidP="00C67286">
      <w:pPr>
        <w:autoSpaceDE/>
        <w:autoSpaceDN/>
        <w:adjustRightInd/>
        <w:ind w:firstLine="720"/>
        <w:jc w:val="both"/>
        <w:rPr>
          <w:sz w:val="22"/>
          <w:szCs w:val="22"/>
        </w:rPr>
      </w:pPr>
    </w:p>
    <w:p w14:paraId="61D7089F" w14:textId="5B2CC3B9" w:rsidR="00C67FF0" w:rsidRDefault="00B24F58" w:rsidP="00C67286">
      <w:pPr>
        <w:autoSpaceDE/>
        <w:autoSpaceDN/>
        <w:adjustRightInd/>
        <w:ind w:firstLine="720"/>
        <w:jc w:val="both"/>
        <w:rPr>
          <w:sz w:val="22"/>
          <w:szCs w:val="22"/>
        </w:rPr>
      </w:pPr>
      <w:r w:rsidRPr="00B24F58">
        <w:rPr>
          <w:sz w:val="22"/>
          <w:szCs w:val="22"/>
        </w:rPr>
        <w:t xml:space="preserve">In accordance with the Exchange’s rules, </w:t>
      </w:r>
      <w:r w:rsidR="006932EE">
        <w:rPr>
          <w:sz w:val="22"/>
          <w:szCs w:val="22"/>
        </w:rPr>
        <w:t>we</w:t>
      </w:r>
      <w:r w:rsidRPr="00B24F58">
        <w:rPr>
          <w:sz w:val="22"/>
          <w:szCs w:val="22"/>
        </w:rPr>
        <w:t xml:space="preserve"> contacted the Exchange to discuss the Filing Delinquency and issued a press release on </w:t>
      </w:r>
      <w:r w:rsidR="006932EE">
        <w:rPr>
          <w:sz w:val="22"/>
          <w:szCs w:val="22"/>
        </w:rPr>
        <w:t xml:space="preserve">February </w:t>
      </w:r>
      <w:r w:rsidR="00D83815">
        <w:rPr>
          <w:sz w:val="22"/>
          <w:szCs w:val="22"/>
        </w:rPr>
        <w:t>28</w:t>
      </w:r>
      <w:r w:rsidRPr="00B24F58">
        <w:rPr>
          <w:sz w:val="22"/>
          <w:szCs w:val="22"/>
        </w:rPr>
        <w:t xml:space="preserve">, </w:t>
      </w:r>
      <w:r w:rsidR="00C67FF0">
        <w:rPr>
          <w:sz w:val="22"/>
          <w:szCs w:val="22"/>
        </w:rPr>
        <w:t>2023</w:t>
      </w:r>
      <w:r w:rsidRPr="00B24F58">
        <w:rPr>
          <w:sz w:val="22"/>
          <w:szCs w:val="22"/>
        </w:rPr>
        <w:t xml:space="preserve"> pertaining thereto, which is included as Exhibit 99.1 to this Current Report on Form 8-K.</w:t>
      </w:r>
      <w:r w:rsidR="00C67286">
        <w:rPr>
          <w:sz w:val="22"/>
          <w:szCs w:val="22"/>
        </w:rPr>
        <w:t xml:space="preserve"> </w:t>
      </w:r>
      <w:r w:rsidRPr="00B24F58">
        <w:rPr>
          <w:sz w:val="22"/>
          <w:szCs w:val="22"/>
        </w:rPr>
        <w:t xml:space="preserve"> </w:t>
      </w:r>
      <w:r w:rsidR="006932EE">
        <w:rPr>
          <w:sz w:val="22"/>
          <w:szCs w:val="22"/>
        </w:rPr>
        <w:t>We are</w:t>
      </w:r>
      <w:r w:rsidRPr="00B24F58">
        <w:rPr>
          <w:sz w:val="22"/>
          <w:szCs w:val="22"/>
        </w:rPr>
        <w:t xml:space="preserve"> actively working to complete the Delayed Form 10-</w:t>
      </w:r>
      <w:r w:rsidR="00C67FF0">
        <w:rPr>
          <w:sz w:val="22"/>
          <w:szCs w:val="22"/>
        </w:rPr>
        <w:t>Q</w:t>
      </w:r>
      <w:r w:rsidRPr="00B24F58">
        <w:rPr>
          <w:sz w:val="22"/>
          <w:szCs w:val="22"/>
        </w:rPr>
        <w:t xml:space="preserve"> and intend to file the Delayed Form 10-</w:t>
      </w:r>
      <w:r w:rsidR="00C67FF0">
        <w:rPr>
          <w:sz w:val="22"/>
          <w:szCs w:val="22"/>
        </w:rPr>
        <w:t>Q</w:t>
      </w:r>
      <w:r w:rsidRPr="00B24F58">
        <w:rPr>
          <w:sz w:val="22"/>
          <w:szCs w:val="22"/>
        </w:rPr>
        <w:t xml:space="preserve"> under the Securities Exchange Act of 1934, as amended (the “Exchange Act”), within the next </w:t>
      </w:r>
      <w:r w:rsidR="00D83815">
        <w:rPr>
          <w:sz w:val="22"/>
          <w:szCs w:val="22"/>
        </w:rPr>
        <w:t>ten</w:t>
      </w:r>
      <w:r w:rsidRPr="00B24F58">
        <w:rPr>
          <w:sz w:val="22"/>
          <w:szCs w:val="22"/>
        </w:rPr>
        <w:t xml:space="preserve"> (</w:t>
      </w:r>
      <w:r w:rsidR="00D83815">
        <w:rPr>
          <w:sz w:val="22"/>
          <w:szCs w:val="22"/>
        </w:rPr>
        <w:t>10</w:t>
      </w:r>
      <w:r w:rsidRPr="00B24F58">
        <w:rPr>
          <w:sz w:val="22"/>
          <w:szCs w:val="22"/>
        </w:rPr>
        <w:t xml:space="preserve">) days.   </w:t>
      </w:r>
    </w:p>
    <w:p w14:paraId="75AB120D" w14:textId="77777777" w:rsidR="00C67FF0" w:rsidRDefault="00C67FF0" w:rsidP="00C67286">
      <w:pPr>
        <w:autoSpaceDE/>
        <w:autoSpaceDN/>
        <w:adjustRightInd/>
        <w:ind w:firstLine="720"/>
        <w:jc w:val="both"/>
        <w:rPr>
          <w:sz w:val="22"/>
          <w:szCs w:val="22"/>
        </w:rPr>
      </w:pPr>
    </w:p>
    <w:p w14:paraId="5CADCDE7" w14:textId="01D6E858" w:rsidR="00C67286" w:rsidRDefault="00B24F58" w:rsidP="00C67286">
      <w:pPr>
        <w:autoSpaceDE/>
        <w:autoSpaceDN/>
        <w:adjustRightInd/>
        <w:ind w:firstLine="720"/>
        <w:jc w:val="both"/>
        <w:rPr>
          <w:sz w:val="22"/>
          <w:szCs w:val="22"/>
        </w:rPr>
      </w:pPr>
      <w:r w:rsidRPr="00B24F58">
        <w:rPr>
          <w:sz w:val="22"/>
          <w:szCs w:val="22"/>
        </w:rPr>
        <w:t xml:space="preserve">As a result of the foregoing, </w:t>
      </w:r>
      <w:r w:rsidR="00B40C33">
        <w:rPr>
          <w:sz w:val="22"/>
          <w:szCs w:val="22"/>
        </w:rPr>
        <w:t xml:space="preserve">we have </w:t>
      </w:r>
      <w:r w:rsidRPr="00B24F58">
        <w:rPr>
          <w:sz w:val="22"/>
          <w:szCs w:val="22"/>
        </w:rPr>
        <w:t xml:space="preserve"> become subject to the procedures and requirements of Section 1007 of the Company Guide. During the six-month period from the date of the Filing </w:t>
      </w:r>
      <w:r w:rsidRPr="00B24F58">
        <w:rPr>
          <w:sz w:val="22"/>
          <w:szCs w:val="22"/>
        </w:rPr>
        <w:lastRenderedPageBreak/>
        <w:t xml:space="preserve">Delinquency (the “Initial Cure Period”), the Exchange will monitor the Company and the status of the Delayed Form </w:t>
      </w:r>
      <w:r w:rsidR="00C67286">
        <w:rPr>
          <w:sz w:val="22"/>
          <w:szCs w:val="22"/>
        </w:rPr>
        <w:t>10-Q</w:t>
      </w:r>
      <w:r w:rsidRPr="00B24F58">
        <w:rPr>
          <w:sz w:val="22"/>
          <w:szCs w:val="22"/>
        </w:rPr>
        <w:t xml:space="preserve"> and any subsequent reports until the Filing Delinquency is cured. If </w:t>
      </w:r>
      <w:r w:rsidR="00B40C33">
        <w:rPr>
          <w:sz w:val="22"/>
          <w:szCs w:val="22"/>
        </w:rPr>
        <w:t xml:space="preserve">we </w:t>
      </w:r>
      <w:r w:rsidRPr="00B24F58">
        <w:rPr>
          <w:sz w:val="22"/>
          <w:szCs w:val="22"/>
        </w:rPr>
        <w:t xml:space="preserve">fail to cure the Filing Delinquency within the Initial Cure Period, the Exchange may, in its sole discretion, allow </w:t>
      </w:r>
      <w:r w:rsidR="00B40C33">
        <w:rPr>
          <w:sz w:val="22"/>
          <w:szCs w:val="22"/>
        </w:rPr>
        <w:t xml:space="preserve">our </w:t>
      </w:r>
      <w:r w:rsidRPr="00B24F58">
        <w:rPr>
          <w:sz w:val="22"/>
          <w:szCs w:val="22"/>
        </w:rPr>
        <w:t>securities to be traded for up to an additional six-month period (the “Additional Cure Period”), depending on the Company’s specific circumstances.</w:t>
      </w:r>
      <w:r w:rsidR="00C67286">
        <w:rPr>
          <w:sz w:val="22"/>
          <w:szCs w:val="22"/>
        </w:rPr>
        <w:t xml:space="preserve"> </w:t>
      </w:r>
      <w:r w:rsidRPr="00B24F58">
        <w:rPr>
          <w:sz w:val="22"/>
          <w:szCs w:val="22"/>
        </w:rPr>
        <w:t xml:space="preserve"> If the Exchange determines that an Additional Cure Period is not appropriate, suspension and delisting procedures will commence in accordance with the procedures set forth in Section 1010 of the Company Guide.</w:t>
      </w:r>
    </w:p>
    <w:p w14:paraId="1382B9F0" w14:textId="77777777" w:rsidR="00C67286" w:rsidRDefault="00C67286" w:rsidP="00C67286">
      <w:pPr>
        <w:autoSpaceDE/>
        <w:autoSpaceDN/>
        <w:adjustRightInd/>
        <w:ind w:firstLine="720"/>
        <w:jc w:val="both"/>
        <w:rPr>
          <w:sz w:val="22"/>
          <w:szCs w:val="22"/>
        </w:rPr>
      </w:pPr>
    </w:p>
    <w:p w14:paraId="00C20177" w14:textId="77777777" w:rsidR="00C67286" w:rsidRDefault="00B24F58" w:rsidP="00C67286">
      <w:pPr>
        <w:autoSpaceDE/>
        <w:autoSpaceDN/>
        <w:adjustRightInd/>
        <w:ind w:firstLine="720"/>
        <w:jc w:val="both"/>
        <w:rPr>
          <w:sz w:val="22"/>
          <w:szCs w:val="22"/>
        </w:rPr>
      </w:pPr>
      <w:r w:rsidRPr="00B24F58">
        <w:rPr>
          <w:sz w:val="22"/>
          <w:szCs w:val="22"/>
        </w:rPr>
        <w:t>Notwithstanding the foregoing, however, the Exchange may in its sole discretion decide (i) not to afford the Company any Initial Cure Period or Additional Cure Period, as the case may be, at all or (ii) at any time during the Initial Cure Period or Additional Cure Period, to truncate the Initial Cure Period or Additional Cure Period, as the case may be. Furthermore, the Exchange may immediately commence suspension and delisting procedures if the Company is subject to delisting pursuant to any other provision of the Company Guide, including if the Exchange believes, in its sole discretion, that continued listing and trading of the Company’s securities on the Exchange is inadvisable or unwarranted in accordance with Sections 1001-1006 of the Company Guide.</w:t>
      </w:r>
    </w:p>
    <w:p w14:paraId="0F1A86F5" w14:textId="77777777" w:rsidR="00C67286" w:rsidRDefault="00C67286" w:rsidP="00C67286">
      <w:pPr>
        <w:autoSpaceDE/>
        <w:autoSpaceDN/>
        <w:adjustRightInd/>
        <w:ind w:firstLine="720"/>
        <w:rPr>
          <w:sz w:val="22"/>
          <w:szCs w:val="22"/>
        </w:rPr>
      </w:pPr>
    </w:p>
    <w:p w14:paraId="540905CE" w14:textId="42F6F257" w:rsidR="00B24F58" w:rsidRPr="00B24F58" w:rsidRDefault="00B24F58" w:rsidP="00C67286">
      <w:pPr>
        <w:autoSpaceDE/>
        <w:autoSpaceDN/>
        <w:adjustRightInd/>
        <w:ind w:firstLine="720"/>
        <w:jc w:val="both"/>
        <w:rPr>
          <w:sz w:val="22"/>
          <w:szCs w:val="22"/>
        </w:rPr>
      </w:pPr>
      <w:r w:rsidRPr="00B24F58">
        <w:rPr>
          <w:sz w:val="22"/>
          <w:szCs w:val="22"/>
        </w:rPr>
        <w:t xml:space="preserve">In the interim, the Company’s securities will continue to be listed on the Exchange, subject to </w:t>
      </w:r>
      <w:r w:rsidR="000F0812">
        <w:rPr>
          <w:sz w:val="22"/>
          <w:szCs w:val="22"/>
        </w:rPr>
        <w:t xml:space="preserve">our </w:t>
      </w:r>
      <w:r w:rsidRPr="00B24F58">
        <w:rPr>
          <w:sz w:val="22"/>
          <w:szCs w:val="22"/>
        </w:rPr>
        <w:t xml:space="preserve"> compliance with other continued listing requirements, and the Company’s common stock will continue to trade under the symbol “</w:t>
      </w:r>
      <w:r w:rsidR="00107DB8">
        <w:rPr>
          <w:sz w:val="22"/>
          <w:szCs w:val="22"/>
        </w:rPr>
        <w:t>BDL.</w:t>
      </w:r>
      <w:r w:rsidRPr="00B24F58">
        <w:rPr>
          <w:sz w:val="22"/>
          <w:szCs w:val="22"/>
        </w:rPr>
        <w:t xml:space="preserve">” </w:t>
      </w:r>
      <w:r w:rsidR="00107DB8">
        <w:rPr>
          <w:sz w:val="22"/>
          <w:szCs w:val="22"/>
        </w:rPr>
        <w:t xml:space="preserve"> </w:t>
      </w:r>
      <w:r w:rsidRPr="00B24F58">
        <w:rPr>
          <w:sz w:val="22"/>
          <w:szCs w:val="22"/>
        </w:rPr>
        <w:t>The Exchange will make a late filer (“.LF”) indicator available on the consolidated tape. Each data vendor that disseminates the quotes and trades of Exchange-listed issuers may append this indicator to the ticker symbol of the Company. Each vendor is free to use an indicator of its own choosing so the letter or symbol used to indicate this status may differ from vendor to vendor. The Exchange also publishes a list of noncompliant issuers and displays the .LF indicator on its website.</w:t>
      </w:r>
    </w:p>
    <w:p w14:paraId="0741C09C" w14:textId="3CD66530" w:rsidR="00B24F58" w:rsidRPr="00B24F58" w:rsidRDefault="00B24F58" w:rsidP="00C67286">
      <w:pPr>
        <w:autoSpaceDE/>
        <w:autoSpaceDN/>
        <w:adjustRightInd/>
        <w:rPr>
          <w:sz w:val="22"/>
          <w:szCs w:val="22"/>
        </w:rPr>
      </w:pPr>
    </w:p>
    <w:p w14:paraId="0086D07B" w14:textId="76BCF4B8" w:rsidR="00B24F58" w:rsidRPr="00C67286" w:rsidRDefault="00B24F58" w:rsidP="00C67286">
      <w:pPr>
        <w:keepNext/>
        <w:autoSpaceDE/>
        <w:autoSpaceDN/>
        <w:adjustRightInd/>
        <w:ind w:left="1080" w:hanging="1080"/>
        <w:rPr>
          <w:b/>
          <w:bCs/>
          <w:sz w:val="22"/>
          <w:szCs w:val="22"/>
        </w:rPr>
      </w:pPr>
      <w:r w:rsidRPr="00C67286">
        <w:rPr>
          <w:b/>
          <w:bCs/>
          <w:sz w:val="22"/>
          <w:szCs w:val="22"/>
        </w:rPr>
        <w:t>Item 9.01</w:t>
      </w:r>
      <w:r w:rsidR="00C67286">
        <w:rPr>
          <w:b/>
          <w:bCs/>
          <w:sz w:val="22"/>
          <w:szCs w:val="22"/>
        </w:rPr>
        <w:tab/>
      </w:r>
      <w:r w:rsidRPr="00C67286">
        <w:rPr>
          <w:b/>
          <w:bCs/>
          <w:sz w:val="22"/>
          <w:szCs w:val="22"/>
        </w:rPr>
        <w:t>Financial Statements and Exhibits.</w:t>
      </w:r>
    </w:p>
    <w:p w14:paraId="4EF8ADD0" w14:textId="77777777" w:rsidR="00B24F58" w:rsidRPr="00B24F58" w:rsidRDefault="00B24F58" w:rsidP="00C67286">
      <w:pPr>
        <w:keepNext/>
        <w:autoSpaceDE/>
        <w:autoSpaceDN/>
        <w:adjustRightInd/>
        <w:ind w:left="1080" w:hanging="1080"/>
        <w:rPr>
          <w:sz w:val="22"/>
          <w:szCs w:val="22"/>
        </w:rPr>
      </w:pPr>
    </w:p>
    <w:p w14:paraId="32715EDB" w14:textId="77777777" w:rsidR="00B24F58" w:rsidRPr="00B24F58" w:rsidRDefault="00B24F58" w:rsidP="00C67286">
      <w:pPr>
        <w:keepNext/>
        <w:autoSpaceDE/>
        <w:autoSpaceDN/>
        <w:adjustRightInd/>
        <w:ind w:left="1080" w:hanging="1080"/>
        <w:rPr>
          <w:sz w:val="22"/>
          <w:szCs w:val="22"/>
        </w:rPr>
      </w:pPr>
      <w:r w:rsidRPr="00B24F58">
        <w:rPr>
          <w:sz w:val="22"/>
          <w:szCs w:val="22"/>
        </w:rPr>
        <w:t>(d) Exhibits.</w:t>
      </w:r>
    </w:p>
    <w:p w14:paraId="4250BF0A" w14:textId="77777777" w:rsidR="00B24F58" w:rsidRPr="00B24F58" w:rsidRDefault="00B24F58" w:rsidP="00C67286">
      <w:pPr>
        <w:keepNext/>
        <w:autoSpaceDE/>
        <w:autoSpaceDN/>
        <w:adjustRightInd/>
        <w:ind w:left="1080" w:hanging="1080"/>
        <w:rPr>
          <w:sz w:val="22"/>
          <w:szCs w:val="22"/>
        </w:rPr>
      </w:pPr>
    </w:p>
    <w:p w14:paraId="2EBDC76A" w14:textId="31670694" w:rsidR="00B24F58" w:rsidRPr="00B24F58" w:rsidRDefault="00B24F58" w:rsidP="00B24F58">
      <w:pPr>
        <w:autoSpaceDE/>
        <w:autoSpaceDN/>
        <w:adjustRightInd/>
        <w:ind w:left="1080" w:hanging="1080"/>
        <w:rPr>
          <w:sz w:val="22"/>
          <w:szCs w:val="22"/>
        </w:rPr>
      </w:pPr>
      <w:r w:rsidRPr="00B24F58">
        <w:rPr>
          <w:sz w:val="22"/>
          <w:szCs w:val="22"/>
        </w:rPr>
        <w:t xml:space="preserve">99.1 Press Release dated </w:t>
      </w:r>
      <w:r w:rsidR="006932EE">
        <w:rPr>
          <w:sz w:val="22"/>
          <w:szCs w:val="22"/>
        </w:rPr>
        <w:t>February</w:t>
      </w:r>
      <w:r w:rsidR="00D83815">
        <w:rPr>
          <w:sz w:val="22"/>
          <w:szCs w:val="22"/>
        </w:rPr>
        <w:t xml:space="preserve"> 28</w:t>
      </w:r>
      <w:r w:rsidRPr="00B24F58">
        <w:rPr>
          <w:sz w:val="22"/>
          <w:szCs w:val="22"/>
        </w:rPr>
        <w:t>, 20</w:t>
      </w:r>
      <w:r w:rsidR="00C67286">
        <w:rPr>
          <w:sz w:val="22"/>
          <w:szCs w:val="22"/>
        </w:rPr>
        <w:t>23</w:t>
      </w:r>
      <w:r w:rsidRPr="00B24F58">
        <w:rPr>
          <w:sz w:val="22"/>
          <w:szCs w:val="22"/>
        </w:rPr>
        <w:t>.</w:t>
      </w:r>
    </w:p>
    <w:p w14:paraId="4197ECBF" w14:textId="77777777" w:rsidR="00B24F58" w:rsidRPr="00B24F58" w:rsidRDefault="00B24F58" w:rsidP="00B24F58">
      <w:pPr>
        <w:autoSpaceDE/>
        <w:autoSpaceDN/>
        <w:adjustRightInd/>
        <w:ind w:left="1080" w:hanging="1080"/>
        <w:rPr>
          <w:sz w:val="22"/>
          <w:szCs w:val="22"/>
        </w:rPr>
      </w:pPr>
    </w:p>
    <w:p w14:paraId="0B6AB082" w14:textId="77777777" w:rsidR="00B24F58" w:rsidRPr="00C67286" w:rsidRDefault="00B24F58" w:rsidP="00B24F58">
      <w:pPr>
        <w:autoSpaceDE/>
        <w:autoSpaceDN/>
        <w:adjustRightInd/>
        <w:ind w:left="1080" w:hanging="1080"/>
        <w:rPr>
          <w:b/>
          <w:bCs/>
          <w:sz w:val="22"/>
          <w:szCs w:val="22"/>
        </w:rPr>
      </w:pPr>
      <w:r w:rsidRPr="00C67286">
        <w:rPr>
          <w:b/>
          <w:bCs/>
          <w:sz w:val="22"/>
          <w:szCs w:val="22"/>
        </w:rPr>
        <w:t>Disclosures About Forward-Looking Statements</w:t>
      </w:r>
    </w:p>
    <w:p w14:paraId="2FB33983" w14:textId="77777777" w:rsidR="00B24F58" w:rsidRPr="00B24F58" w:rsidRDefault="00B24F58" w:rsidP="00B24F58">
      <w:pPr>
        <w:autoSpaceDE/>
        <w:autoSpaceDN/>
        <w:adjustRightInd/>
        <w:ind w:left="1080" w:hanging="1080"/>
        <w:rPr>
          <w:sz w:val="22"/>
          <w:szCs w:val="22"/>
        </w:rPr>
      </w:pPr>
    </w:p>
    <w:p w14:paraId="09B221BF" w14:textId="2AF4DA3D" w:rsidR="00B24F58" w:rsidRPr="00B24F58" w:rsidRDefault="00B24F58" w:rsidP="00131004">
      <w:pPr>
        <w:autoSpaceDE/>
        <w:autoSpaceDN/>
        <w:adjustRightInd/>
        <w:ind w:firstLine="720"/>
        <w:jc w:val="both"/>
        <w:rPr>
          <w:sz w:val="22"/>
          <w:szCs w:val="22"/>
        </w:rPr>
      </w:pPr>
      <w:r w:rsidRPr="00B24F58">
        <w:rPr>
          <w:sz w:val="22"/>
          <w:szCs w:val="22"/>
        </w:rPr>
        <w:t xml:space="preserve">This Current Report on Form 8-K contains forward-looking statements within the meaning of Section 27A of the Securities Act of 1933, as amended, and Section 21E of the Exchange Act, including, without limitation, the Company’s expectations as to the timing of the filing of the Delayed Form </w:t>
      </w:r>
      <w:r w:rsidR="00C67286">
        <w:rPr>
          <w:sz w:val="22"/>
          <w:szCs w:val="22"/>
        </w:rPr>
        <w:t>10-Q</w:t>
      </w:r>
      <w:r w:rsidRPr="00B24F58">
        <w:rPr>
          <w:sz w:val="22"/>
          <w:szCs w:val="22"/>
        </w:rPr>
        <w:t>.</w:t>
      </w:r>
    </w:p>
    <w:p w14:paraId="1108EDA6" w14:textId="77777777" w:rsidR="00C67286" w:rsidRDefault="00C67286" w:rsidP="00131004">
      <w:pPr>
        <w:autoSpaceDE/>
        <w:autoSpaceDN/>
        <w:adjustRightInd/>
        <w:jc w:val="both"/>
        <w:rPr>
          <w:sz w:val="22"/>
          <w:szCs w:val="22"/>
        </w:rPr>
      </w:pPr>
    </w:p>
    <w:p w14:paraId="5CADD7B1" w14:textId="17396CA0" w:rsidR="00B24F58" w:rsidRPr="00B24F58" w:rsidRDefault="00B24F58" w:rsidP="00131004">
      <w:pPr>
        <w:autoSpaceDE/>
        <w:autoSpaceDN/>
        <w:adjustRightInd/>
        <w:ind w:firstLine="720"/>
        <w:jc w:val="both"/>
        <w:rPr>
          <w:sz w:val="22"/>
          <w:szCs w:val="22"/>
        </w:rPr>
      </w:pPr>
      <w:r w:rsidRPr="00B24F58">
        <w:rPr>
          <w:sz w:val="22"/>
          <w:szCs w:val="22"/>
        </w:rPr>
        <w:t xml:space="preserve">These forward-looking statements involve risks and uncertainties, and actual results could vary materially from these forward-looking statements. Factors that may cause future results to differ materially from management’s current expectations include, among other things, that the completion and filing of the Delayed Form </w:t>
      </w:r>
      <w:r w:rsidR="00C67286">
        <w:rPr>
          <w:sz w:val="22"/>
          <w:szCs w:val="22"/>
        </w:rPr>
        <w:t>10-Q</w:t>
      </w:r>
      <w:r w:rsidRPr="00B24F58">
        <w:rPr>
          <w:sz w:val="22"/>
          <w:szCs w:val="22"/>
        </w:rPr>
        <w:t xml:space="preserve"> will take longer than expected and that the Company will be unable to file the Delayed Form </w:t>
      </w:r>
      <w:r w:rsidR="00C67286">
        <w:rPr>
          <w:sz w:val="22"/>
          <w:szCs w:val="22"/>
        </w:rPr>
        <w:t>10-Q</w:t>
      </w:r>
      <w:r w:rsidRPr="00B24F58">
        <w:rPr>
          <w:sz w:val="22"/>
          <w:szCs w:val="22"/>
        </w:rPr>
        <w:t xml:space="preserve"> within the Initial Cure Period or Additional Cure Period. The Company disclaims any obligation to update information contained in these forward-looking statements whether as a result of new information, future events, or otherwise, except as required by law.  </w:t>
      </w:r>
    </w:p>
    <w:p w14:paraId="24D8A8B8" w14:textId="77777777" w:rsidR="00AD41B1" w:rsidRPr="00D5356A" w:rsidRDefault="00AD41B1" w:rsidP="00AD41B1">
      <w:pPr>
        <w:rPr>
          <w:b/>
          <w:bCs/>
          <w:sz w:val="22"/>
          <w:szCs w:val="22"/>
        </w:rPr>
      </w:pPr>
    </w:p>
    <w:p w14:paraId="67043B31" w14:textId="77777777" w:rsidR="00CF1971" w:rsidRDefault="00CF1971" w:rsidP="00AD41B1">
      <w:pPr>
        <w:jc w:val="center"/>
        <w:rPr>
          <w:b/>
          <w:bCs/>
          <w:sz w:val="22"/>
          <w:szCs w:val="22"/>
        </w:rPr>
      </w:pPr>
    </w:p>
    <w:p w14:paraId="7C73ADC4" w14:textId="77777777" w:rsidR="00CF1971" w:rsidRDefault="00CF1971" w:rsidP="00AD41B1">
      <w:pPr>
        <w:jc w:val="center"/>
        <w:rPr>
          <w:b/>
          <w:bCs/>
          <w:sz w:val="22"/>
          <w:szCs w:val="22"/>
        </w:rPr>
      </w:pPr>
    </w:p>
    <w:p w14:paraId="7399E5F0" w14:textId="77777777" w:rsidR="00CF1971" w:rsidRDefault="00CF1971" w:rsidP="00AD41B1">
      <w:pPr>
        <w:jc w:val="center"/>
        <w:rPr>
          <w:b/>
          <w:bCs/>
          <w:sz w:val="22"/>
          <w:szCs w:val="22"/>
        </w:rPr>
      </w:pPr>
    </w:p>
    <w:p w14:paraId="54084E6A" w14:textId="77777777" w:rsidR="00287748" w:rsidRDefault="00287748" w:rsidP="00AD41B1">
      <w:pPr>
        <w:jc w:val="center"/>
        <w:rPr>
          <w:b/>
          <w:bCs/>
          <w:sz w:val="22"/>
          <w:szCs w:val="22"/>
        </w:rPr>
      </w:pPr>
    </w:p>
    <w:p w14:paraId="26CD6699" w14:textId="6780D215" w:rsidR="00AD41B1" w:rsidRPr="00D5356A" w:rsidRDefault="00AD41B1" w:rsidP="00AD41B1">
      <w:pPr>
        <w:jc w:val="center"/>
        <w:rPr>
          <w:b/>
          <w:bCs/>
          <w:sz w:val="22"/>
          <w:szCs w:val="22"/>
        </w:rPr>
      </w:pPr>
      <w:r w:rsidRPr="00D5356A">
        <w:rPr>
          <w:b/>
          <w:bCs/>
          <w:sz w:val="22"/>
          <w:szCs w:val="22"/>
        </w:rPr>
        <w:lastRenderedPageBreak/>
        <w:t>SIGNATURE</w:t>
      </w:r>
    </w:p>
    <w:p w14:paraId="30E5C790" w14:textId="77777777" w:rsidR="00AD41B1" w:rsidRPr="00D5356A" w:rsidRDefault="00AD41B1" w:rsidP="00AD41B1">
      <w:pPr>
        <w:rPr>
          <w:b/>
          <w:bCs/>
          <w:sz w:val="22"/>
          <w:szCs w:val="22"/>
        </w:rPr>
      </w:pPr>
    </w:p>
    <w:p w14:paraId="7A2599D4" w14:textId="77777777" w:rsidR="00AD41B1" w:rsidRPr="00D5356A" w:rsidRDefault="00AD41B1" w:rsidP="00CC0DF5">
      <w:pPr>
        <w:ind w:firstLine="720"/>
        <w:jc w:val="both"/>
        <w:rPr>
          <w:sz w:val="22"/>
          <w:szCs w:val="22"/>
        </w:rPr>
      </w:pPr>
      <w:r w:rsidRPr="00D5356A">
        <w:rPr>
          <w:sz w:val="22"/>
          <w:szCs w:val="22"/>
        </w:rPr>
        <w:t>Pursuant to the requirements of the Securities Exchange Act of 1934, the Registrant has duly caused this report to be signed on its behalf by the undersigned hereunto duly authorized.</w:t>
      </w:r>
    </w:p>
    <w:p w14:paraId="0F8B54E7" w14:textId="77777777" w:rsidR="00AD41B1" w:rsidRPr="00D5356A" w:rsidRDefault="00AD41B1" w:rsidP="00AD41B1">
      <w:pPr>
        <w:rPr>
          <w:sz w:val="22"/>
          <w:szCs w:val="22"/>
        </w:rPr>
      </w:pPr>
    </w:p>
    <w:p w14:paraId="6F44D132" w14:textId="126463E4" w:rsidR="00AD41B1" w:rsidRPr="00850F8B" w:rsidRDefault="00AD41B1" w:rsidP="00734002">
      <w:pPr>
        <w:ind w:left="8640" w:hanging="4320"/>
        <w:rPr>
          <w:sz w:val="22"/>
          <w:szCs w:val="22"/>
        </w:rPr>
      </w:pPr>
      <w:r w:rsidRPr="00D5356A">
        <w:rPr>
          <w:b/>
          <w:bCs/>
          <w:sz w:val="22"/>
          <w:szCs w:val="22"/>
        </w:rPr>
        <w:t>FLANIGA</w:t>
      </w:r>
      <w:r w:rsidRPr="00850F8B">
        <w:rPr>
          <w:b/>
          <w:bCs/>
          <w:sz w:val="22"/>
          <w:szCs w:val="22"/>
        </w:rPr>
        <w:t>N’S ENTERPRISES, INC.</w:t>
      </w:r>
    </w:p>
    <w:p w14:paraId="3E1A5C9B" w14:textId="3058E471" w:rsidR="00AD41B1" w:rsidRPr="00850F8B" w:rsidRDefault="00AD41B1" w:rsidP="00734002">
      <w:pPr>
        <w:ind w:left="4320"/>
        <w:rPr>
          <w:sz w:val="22"/>
          <w:szCs w:val="22"/>
        </w:rPr>
      </w:pPr>
      <w:r w:rsidRPr="00850F8B">
        <w:rPr>
          <w:sz w:val="22"/>
          <w:szCs w:val="22"/>
        </w:rPr>
        <w:t>(Registrant)</w:t>
      </w:r>
    </w:p>
    <w:p w14:paraId="145F8073" w14:textId="77777777" w:rsidR="00AD41B1" w:rsidRPr="00850F8B" w:rsidRDefault="00AD41B1" w:rsidP="00734002">
      <w:pPr>
        <w:ind w:left="4320"/>
        <w:rPr>
          <w:sz w:val="22"/>
          <w:szCs w:val="22"/>
        </w:rPr>
      </w:pPr>
    </w:p>
    <w:p w14:paraId="2ECF82F6" w14:textId="3190C9E6" w:rsidR="00AD41B1" w:rsidRDefault="00AD41B1" w:rsidP="00734002">
      <w:pPr>
        <w:ind w:left="4320"/>
        <w:rPr>
          <w:sz w:val="22"/>
          <w:szCs w:val="22"/>
        </w:rPr>
      </w:pPr>
    </w:p>
    <w:p w14:paraId="69DFE045" w14:textId="5C42B4E9" w:rsidR="00AD41B1" w:rsidRPr="00850F8B" w:rsidRDefault="00AD41B1" w:rsidP="00734002">
      <w:pPr>
        <w:tabs>
          <w:tab w:val="left" w:pos="4320"/>
        </w:tabs>
        <w:ind w:left="4320" w:hanging="4320"/>
        <w:rPr>
          <w:sz w:val="22"/>
          <w:szCs w:val="22"/>
        </w:rPr>
      </w:pPr>
      <w:r w:rsidRPr="00850F8B">
        <w:rPr>
          <w:sz w:val="22"/>
          <w:szCs w:val="22"/>
        </w:rPr>
        <w:t>Date</w:t>
      </w:r>
      <w:r w:rsidR="00734002">
        <w:rPr>
          <w:sz w:val="22"/>
          <w:szCs w:val="22"/>
        </w:rPr>
        <w:t xml:space="preserve">:  </w:t>
      </w:r>
      <w:r w:rsidR="008E78EA">
        <w:rPr>
          <w:sz w:val="22"/>
          <w:szCs w:val="22"/>
        </w:rPr>
        <w:t>March 1</w:t>
      </w:r>
      <w:bookmarkStart w:id="1" w:name="_GoBack"/>
      <w:bookmarkEnd w:id="1"/>
      <w:r w:rsidR="00C67286">
        <w:rPr>
          <w:sz w:val="22"/>
          <w:szCs w:val="22"/>
        </w:rPr>
        <w:t>, 2023</w:t>
      </w:r>
      <w:r w:rsidRPr="00850F8B">
        <w:rPr>
          <w:sz w:val="22"/>
          <w:szCs w:val="22"/>
        </w:rPr>
        <w:tab/>
        <w:t xml:space="preserve">By: </w:t>
      </w:r>
      <w:r w:rsidRPr="00850F8B">
        <w:rPr>
          <w:sz w:val="22"/>
          <w:szCs w:val="22"/>
          <w:u w:val="single"/>
        </w:rPr>
        <w:t>/s/</w:t>
      </w:r>
      <w:r w:rsidR="00CA74A0">
        <w:rPr>
          <w:sz w:val="22"/>
          <w:szCs w:val="22"/>
          <w:u w:val="single"/>
        </w:rPr>
        <w:t xml:space="preserve"> </w:t>
      </w:r>
      <w:r w:rsidRPr="00850F8B">
        <w:rPr>
          <w:sz w:val="22"/>
          <w:szCs w:val="22"/>
          <w:u w:val="single"/>
        </w:rPr>
        <w:t xml:space="preserve"> Jeffrey D. Kastne</w:t>
      </w:r>
      <w:r w:rsidR="00107DB8">
        <w:rPr>
          <w:sz w:val="22"/>
          <w:szCs w:val="22"/>
          <w:u w:val="single"/>
        </w:rPr>
        <w:t>r</w:t>
      </w:r>
      <w:r w:rsidR="00107DB8">
        <w:rPr>
          <w:sz w:val="22"/>
          <w:szCs w:val="22"/>
          <w:u w:val="single"/>
        </w:rPr>
        <w:tab/>
      </w:r>
      <w:r w:rsidR="00107DB8">
        <w:rPr>
          <w:sz w:val="22"/>
          <w:szCs w:val="22"/>
          <w:u w:val="single"/>
        </w:rPr>
        <w:tab/>
      </w:r>
      <w:r w:rsidRPr="00850F8B">
        <w:rPr>
          <w:sz w:val="22"/>
          <w:szCs w:val="22"/>
        </w:rPr>
        <w:tab/>
      </w:r>
      <w:r w:rsidRPr="00850F8B">
        <w:rPr>
          <w:sz w:val="22"/>
          <w:szCs w:val="22"/>
        </w:rPr>
        <w:tab/>
        <w:t xml:space="preserve"> </w:t>
      </w:r>
    </w:p>
    <w:p w14:paraId="3377437E" w14:textId="77777777" w:rsidR="00734002" w:rsidRDefault="00AD41B1" w:rsidP="00734002">
      <w:pPr>
        <w:tabs>
          <w:tab w:val="left" w:pos="4320"/>
        </w:tabs>
        <w:ind w:left="9000" w:hanging="4320"/>
        <w:rPr>
          <w:sz w:val="22"/>
          <w:szCs w:val="22"/>
        </w:rPr>
      </w:pPr>
      <w:r w:rsidRPr="00850F8B">
        <w:rPr>
          <w:sz w:val="22"/>
          <w:szCs w:val="22"/>
        </w:rPr>
        <w:t>Jeffrey D. Kastner</w:t>
      </w:r>
    </w:p>
    <w:p w14:paraId="25AE55DF" w14:textId="2C2105A2" w:rsidR="00734002" w:rsidRDefault="00AD41B1" w:rsidP="00734002">
      <w:pPr>
        <w:tabs>
          <w:tab w:val="left" w:pos="4320"/>
        </w:tabs>
        <w:ind w:left="9000" w:hanging="4320"/>
        <w:rPr>
          <w:sz w:val="22"/>
          <w:szCs w:val="22"/>
        </w:rPr>
      </w:pPr>
      <w:r w:rsidRPr="00850F8B">
        <w:rPr>
          <w:sz w:val="22"/>
          <w:szCs w:val="22"/>
        </w:rPr>
        <w:t>Chief Finan</w:t>
      </w:r>
      <w:r w:rsidR="00734002">
        <w:rPr>
          <w:sz w:val="22"/>
          <w:szCs w:val="22"/>
        </w:rPr>
        <w:t>cial Officer, General Counsel,</w:t>
      </w:r>
    </w:p>
    <w:p w14:paraId="711E9532" w14:textId="74E58F10" w:rsidR="00AD41B1" w:rsidRPr="00850F8B" w:rsidRDefault="00AD41B1" w:rsidP="00734002">
      <w:pPr>
        <w:tabs>
          <w:tab w:val="left" w:pos="4320"/>
        </w:tabs>
        <w:ind w:left="9000" w:hanging="4320"/>
        <w:rPr>
          <w:sz w:val="22"/>
          <w:szCs w:val="22"/>
        </w:rPr>
      </w:pPr>
      <w:r w:rsidRPr="00850F8B">
        <w:rPr>
          <w:sz w:val="22"/>
          <w:szCs w:val="22"/>
        </w:rPr>
        <w:t>Secretary</w:t>
      </w:r>
    </w:p>
    <w:p w14:paraId="24310A09" w14:textId="78DF2BBE" w:rsidR="007B3939" w:rsidRPr="0066499E" w:rsidRDefault="0059284F" w:rsidP="00F80AA0">
      <w:pPr>
        <w:jc w:val="both"/>
        <w:rPr>
          <w:b/>
          <w:bCs/>
          <w:sz w:val="22"/>
          <w:szCs w:val="22"/>
        </w:rPr>
      </w:pPr>
      <w:r w:rsidRPr="00850F8B">
        <w:rPr>
          <w:bCs/>
          <w:sz w:val="22"/>
          <w:szCs w:val="22"/>
        </w:rPr>
        <w:t xml:space="preserve"> </w:t>
      </w:r>
    </w:p>
    <w:sectPr w:rsidR="007B3939" w:rsidRPr="006649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E4AD3" w14:textId="77777777" w:rsidR="005D51DE" w:rsidRDefault="005D51DE" w:rsidP="00287748">
      <w:r>
        <w:separator/>
      </w:r>
    </w:p>
  </w:endnote>
  <w:endnote w:type="continuationSeparator" w:id="0">
    <w:p w14:paraId="3837BC86" w14:textId="77777777" w:rsidR="005D51DE" w:rsidRDefault="005D51DE" w:rsidP="0028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C304E" w14:textId="77777777" w:rsidR="00287748" w:rsidRDefault="00287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D141F" w14:textId="77777777" w:rsidR="00287748" w:rsidRDefault="002877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8FD08" w14:textId="77777777" w:rsidR="00287748" w:rsidRDefault="00287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61677" w14:textId="77777777" w:rsidR="005D51DE" w:rsidRDefault="005D51DE" w:rsidP="00287748">
      <w:r>
        <w:separator/>
      </w:r>
    </w:p>
  </w:footnote>
  <w:footnote w:type="continuationSeparator" w:id="0">
    <w:p w14:paraId="14B09350" w14:textId="77777777" w:rsidR="005D51DE" w:rsidRDefault="005D51DE" w:rsidP="0028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C27EC" w14:textId="77777777" w:rsidR="00287748" w:rsidRDefault="00287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9BEC6" w14:textId="77777777" w:rsidR="00287748" w:rsidRDefault="002877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5897" w14:textId="77777777" w:rsidR="00287748" w:rsidRDefault="00287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91FB9"/>
    <w:multiLevelType w:val="hybridMultilevel"/>
    <w:tmpl w:val="D6E6B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B9"/>
    <w:rsid w:val="00002441"/>
    <w:rsid w:val="00011D7C"/>
    <w:rsid w:val="0001420A"/>
    <w:rsid w:val="000204A6"/>
    <w:rsid w:val="000214A7"/>
    <w:rsid w:val="0002558D"/>
    <w:rsid w:val="00026A2D"/>
    <w:rsid w:val="0003585B"/>
    <w:rsid w:val="0004331A"/>
    <w:rsid w:val="000530BE"/>
    <w:rsid w:val="0007491F"/>
    <w:rsid w:val="000810D2"/>
    <w:rsid w:val="0008183A"/>
    <w:rsid w:val="00087885"/>
    <w:rsid w:val="00097242"/>
    <w:rsid w:val="000A5047"/>
    <w:rsid w:val="000E557E"/>
    <w:rsid w:val="000F0812"/>
    <w:rsid w:val="000F726F"/>
    <w:rsid w:val="00107DB8"/>
    <w:rsid w:val="00127352"/>
    <w:rsid w:val="00127AB4"/>
    <w:rsid w:val="00131004"/>
    <w:rsid w:val="00140B11"/>
    <w:rsid w:val="0014294D"/>
    <w:rsid w:val="00143D3D"/>
    <w:rsid w:val="00155D65"/>
    <w:rsid w:val="001753B5"/>
    <w:rsid w:val="00182F46"/>
    <w:rsid w:val="0018342D"/>
    <w:rsid w:val="001966AA"/>
    <w:rsid w:val="001A0CA0"/>
    <w:rsid w:val="001D7DF5"/>
    <w:rsid w:val="001E0891"/>
    <w:rsid w:val="001F1658"/>
    <w:rsid w:val="00203A68"/>
    <w:rsid w:val="0020611F"/>
    <w:rsid w:val="00215471"/>
    <w:rsid w:val="002466C8"/>
    <w:rsid w:val="00246EE4"/>
    <w:rsid w:val="00287748"/>
    <w:rsid w:val="002C0B0D"/>
    <w:rsid w:val="002C2F41"/>
    <w:rsid w:val="002C5848"/>
    <w:rsid w:val="002E17A7"/>
    <w:rsid w:val="002E7C42"/>
    <w:rsid w:val="00302DC0"/>
    <w:rsid w:val="0031044B"/>
    <w:rsid w:val="0033242F"/>
    <w:rsid w:val="00336485"/>
    <w:rsid w:val="0034096D"/>
    <w:rsid w:val="00386104"/>
    <w:rsid w:val="00386190"/>
    <w:rsid w:val="003D06B0"/>
    <w:rsid w:val="003D3695"/>
    <w:rsid w:val="003D53A9"/>
    <w:rsid w:val="003D5A43"/>
    <w:rsid w:val="003D68EB"/>
    <w:rsid w:val="00403A62"/>
    <w:rsid w:val="0042235F"/>
    <w:rsid w:val="00447C41"/>
    <w:rsid w:val="00464AD6"/>
    <w:rsid w:val="00484B77"/>
    <w:rsid w:val="0049026F"/>
    <w:rsid w:val="00505807"/>
    <w:rsid w:val="00510E6A"/>
    <w:rsid w:val="00514773"/>
    <w:rsid w:val="005202B9"/>
    <w:rsid w:val="005354B8"/>
    <w:rsid w:val="00542817"/>
    <w:rsid w:val="0055196F"/>
    <w:rsid w:val="005650F5"/>
    <w:rsid w:val="0057256A"/>
    <w:rsid w:val="0059003F"/>
    <w:rsid w:val="0059284F"/>
    <w:rsid w:val="005B07F7"/>
    <w:rsid w:val="005B0B85"/>
    <w:rsid w:val="005B11E0"/>
    <w:rsid w:val="005B5AC0"/>
    <w:rsid w:val="005C530F"/>
    <w:rsid w:val="005C5E68"/>
    <w:rsid w:val="005D51DE"/>
    <w:rsid w:val="005E48E6"/>
    <w:rsid w:val="005E7F36"/>
    <w:rsid w:val="00604BAA"/>
    <w:rsid w:val="00610FBD"/>
    <w:rsid w:val="006161F3"/>
    <w:rsid w:val="006412A7"/>
    <w:rsid w:val="0066499E"/>
    <w:rsid w:val="006661E9"/>
    <w:rsid w:val="00670481"/>
    <w:rsid w:val="006932EE"/>
    <w:rsid w:val="006D3CFA"/>
    <w:rsid w:val="006E51FC"/>
    <w:rsid w:val="00704102"/>
    <w:rsid w:val="0072669A"/>
    <w:rsid w:val="00734002"/>
    <w:rsid w:val="00755EC1"/>
    <w:rsid w:val="00770AAB"/>
    <w:rsid w:val="00774A35"/>
    <w:rsid w:val="007B3939"/>
    <w:rsid w:val="007C567D"/>
    <w:rsid w:val="007E4033"/>
    <w:rsid w:val="007E4C9C"/>
    <w:rsid w:val="00811818"/>
    <w:rsid w:val="00822A68"/>
    <w:rsid w:val="00850F8B"/>
    <w:rsid w:val="00854414"/>
    <w:rsid w:val="00871B77"/>
    <w:rsid w:val="008850BF"/>
    <w:rsid w:val="00890F8B"/>
    <w:rsid w:val="008959C0"/>
    <w:rsid w:val="00895A58"/>
    <w:rsid w:val="008A0A76"/>
    <w:rsid w:val="008A2DCD"/>
    <w:rsid w:val="008B059B"/>
    <w:rsid w:val="008B6556"/>
    <w:rsid w:val="008C1A58"/>
    <w:rsid w:val="008D0884"/>
    <w:rsid w:val="008E5452"/>
    <w:rsid w:val="008E78EA"/>
    <w:rsid w:val="00904A40"/>
    <w:rsid w:val="00914710"/>
    <w:rsid w:val="009307E7"/>
    <w:rsid w:val="009379FE"/>
    <w:rsid w:val="00945C62"/>
    <w:rsid w:val="009603FF"/>
    <w:rsid w:val="00963814"/>
    <w:rsid w:val="009750AA"/>
    <w:rsid w:val="009C5816"/>
    <w:rsid w:val="009D35F6"/>
    <w:rsid w:val="009D5659"/>
    <w:rsid w:val="009F6B9A"/>
    <w:rsid w:val="00A062D8"/>
    <w:rsid w:val="00A17FA0"/>
    <w:rsid w:val="00A41C32"/>
    <w:rsid w:val="00A51F81"/>
    <w:rsid w:val="00A66FF2"/>
    <w:rsid w:val="00A80D2D"/>
    <w:rsid w:val="00A96373"/>
    <w:rsid w:val="00AA2ED4"/>
    <w:rsid w:val="00AC4460"/>
    <w:rsid w:val="00AD3A44"/>
    <w:rsid w:val="00AD41B1"/>
    <w:rsid w:val="00B030C1"/>
    <w:rsid w:val="00B1117F"/>
    <w:rsid w:val="00B24F58"/>
    <w:rsid w:val="00B27D7A"/>
    <w:rsid w:val="00B343D1"/>
    <w:rsid w:val="00B37985"/>
    <w:rsid w:val="00B40C33"/>
    <w:rsid w:val="00B603E1"/>
    <w:rsid w:val="00B61A3E"/>
    <w:rsid w:val="00B7324B"/>
    <w:rsid w:val="00B778C8"/>
    <w:rsid w:val="00BA38AD"/>
    <w:rsid w:val="00BB6443"/>
    <w:rsid w:val="00BC68A1"/>
    <w:rsid w:val="00BC77EA"/>
    <w:rsid w:val="00C14882"/>
    <w:rsid w:val="00C463C6"/>
    <w:rsid w:val="00C67286"/>
    <w:rsid w:val="00C67FF0"/>
    <w:rsid w:val="00C83011"/>
    <w:rsid w:val="00CA74A0"/>
    <w:rsid w:val="00CC0DF5"/>
    <w:rsid w:val="00CC3216"/>
    <w:rsid w:val="00CC3467"/>
    <w:rsid w:val="00CD6375"/>
    <w:rsid w:val="00CE18D0"/>
    <w:rsid w:val="00CF1971"/>
    <w:rsid w:val="00D05985"/>
    <w:rsid w:val="00D46242"/>
    <w:rsid w:val="00D5356A"/>
    <w:rsid w:val="00D6174D"/>
    <w:rsid w:val="00D74C4F"/>
    <w:rsid w:val="00D83815"/>
    <w:rsid w:val="00D924BA"/>
    <w:rsid w:val="00DA21EC"/>
    <w:rsid w:val="00DA65FE"/>
    <w:rsid w:val="00DA76E0"/>
    <w:rsid w:val="00DB4FB8"/>
    <w:rsid w:val="00DD3288"/>
    <w:rsid w:val="00DD54E7"/>
    <w:rsid w:val="00DE4260"/>
    <w:rsid w:val="00DE5698"/>
    <w:rsid w:val="00E13F9A"/>
    <w:rsid w:val="00E327D5"/>
    <w:rsid w:val="00E373B4"/>
    <w:rsid w:val="00E401AD"/>
    <w:rsid w:val="00E42EDA"/>
    <w:rsid w:val="00E6173D"/>
    <w:rsid w:val="00E65C50"/>
    <w:rsid w:val="00E70A2E"/>
    <w:rsid w:val="00E73232"/>
    <w:rsid w:val="00E97B70"/>
    <w:rsid w:val="00EA20E3"/>
    <w:rsid w:val="00EB47BD"/>
    <w:rsid w:val="00EE7A2E"/>
    <w:rsid w:val="00EF2789"/>
    <w:rsid w:val="00F1468F"/>
    <w:rsid w:val="00F14A1B"/>
    <w:rsid w:val="00F44D72"/>
    <w:rsid w:val="00F720AD"/>
    <w:rsid w:val="00F76B14"/>
    <w:rsid w:val="00F80AA0"/>
    <w:rsid w:val="00F828BB"/>
    <w:rsid w:val="00F85EA0"/>
    <w:rsid w:val="00F918A4"/>
    <w:rsid w:val="00F9721C"/>
    <w:rsid w:val="00FF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E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style>
  <w:style w:type="paragraph" w:styleId="Heading5">
    <w:name w:val="heading 5"/>
    <w:basedOn w:val="Normal"/>
    <w:qFormat/>
    <w:pPr>
      <w:autoSpaceDE/>
      <w:autoSpaceDN/>
      <w:adjustRightInd/>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autoSpaceDE/>
      <w:autoSpaceDN/>
      <w:adjustRightInd/>
      <w:spacing w:before="100" w:beforeAutospacing="1" w:after="100" w:afterAutospacing="1"/>
    </w:pPr>
    <w:rPr>
      <w:sz w:val="24"/>
      <w:szCs w:val="24"/>
    </w:rPr>
  </w:style>
  <w:style w:type="paragraph" w:styleId="BalloonText">
    <w:name w:val="Balloon Text"/>
    <w:basedOn w:val="Normal"/>
    <w:semiHidden/>
    <w:rsid w:val="005202B9"/>
    <w:rPr>
      <w:rFonts w:ascii="Tahoma" w:hAnsi="Tahoma" w:cs="Tahoma"/>
      <w:sz w:val="16"/>
      <w:szCs w:val="16"/>
    </w:rPr>
  </w:style>
  <w:style w:type="table" w:styleId="TableGrid">
    <w:name w:val="Table Grid"/>
    <w:basedOn w:val="TableNormal"/>
    <w:rsid w:val="00A41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D7C"/>
    <w:pPr>
      <w:ind w:left="720"/>
      <w:contextualSpacing/>
    </w:pPr>
  </w:style>
  <w:style w:type="paragraph" w:customStyle="1" w:styleId="yiv0646217757msonormal">
    <w:name w:val="yiv0646217757msonormal"/>
    <w:basedOn w:val="Normal"/>
    <w:rsid w:val="00D5356A"/>
    <w:pPr>
      <w:autoSpaceDE/>
      <w:autoSpaceDN/>
      <w:adjustRightInd/>
      <w:spacing w:before="100" w:beforeAutospacing="1" w:after="100" w:afterAutospacing="1"/>
    </w:pPr>
    <w:rPr>
      <w:sz w:val="24"/>
      <w:szCs w:val="24"/>
    </w:rPr>
  </w:style>
  <w:style w:type="paragraph" w:styleId="Revision">
    <w:name w:val="Revision"/>
    <w:hidden/>
    <w:uiPriority w:val="99"/>
    <w:semiHidden/>
    <w:rsid w:val="00CC3467"/>
  </w:style>
  <w:style w:type="paragraph" w:styleId="CommentText">
    <w:name w:val="annotation text"/>
    <w:basedOn w:val="Normal"/>
    <w:link w:val="CommentTextChar"/>
    <w:uiPriority w:val="99"/>
    <w:unhideWhenUsed/>
    <w:rsid w:val="00026A2D"/>
    <w:pPr>
      <w:autoSpaceDE/>
      <w:autoSpaceDN/>
      <w:adjustRightInd/>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26A2D"/>
    <w:rPr>
      <w:rFonts w:asciiTheme="minorHAnsi" w:eastAsiaTheme="minorHAnsi" w:hAnsiTheme="minorHAnsi" w:cstheme="minorBidi"/>
    </w:rPr>
  </w:style>
  <w:style w:type="character" w:styleId="CommentReference">
    <w:name w:val="annotation reference"/>
    <w:basedOn w:val="DefaultParagraphFont"/>
    <w:uiPriority w:val="99"/>
    <w:unhideWhenUsed/>
    <w:rsid w:val="00026A2D"/>
    <w:rPr>
      <w:sz w:val="16"/>
      <w:szCs w:val="16"/>
    </w:rPr>
  </w:style>
  <w:style w:type="paragraph" w:styleId="Header">
    <w:name w:val="header"/>
    <w:basedOn w:val="Normal"/>
    <w:link w:val="HeaderChar"/>
    <w:rsid w:val="00287748"/>
    <w:pPr>
      <w:tabs>
        <w:tab w:val="center" w:pos="4680"/>
        <w:tab w:val="right" w:pos="9360"/>
      </w:tabs>
    </w:pPr>
  </w:style>
  <w:style w:type="character" w:customStyle="1" w:styleId="HeaderChar">
    <w:name w:val="Header Char"/>
    <w:basedOn w:val="DefaultParagraphFont"/>
    <w:link w:val="Header"/>
    <w:rsid w:val="00287748"/>
  </w:style>
  <w:style w:type="paragraph" w:styleId="Footer">
    <w:name w:val="footer"/>
    <w:basedOn w:val="Normal"/>
    <w:link w:val="FooterChar"/>
    <w:uiPriority w:val="99"/>
    <w:rsid w:val="00287748"/>
    <w:pPr>
      <w:tabs>
        <w:tab w:val="center" w:pos="4680"/>
        <w:tab w:val="right" w:pos="9360"/>
      </w:tabs>
    </w:pPr>
  </w:style>
  <w:style w:type="character" w:customStyle="1" w:styleId="FooterChar">
    <w:name w:val="Footer Char"/>
    <w:basedOn w:val="DefaultParagraphFont"/>
    <w:link w:val="Footer"/>
    <w:uiPriority w:val="99"/>
    <w:rsid w:val="00287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style>
  <w:style w:type="paragraph" w:styleId="Heading5">
    <w:name w:val="heading 5"/>
    <w:basedOn w:val="Normal"/>
    <w:qFormat/>
    <w:pPr>
      <w:autoSpaceDE/>
      <w:autoSpaceDN/>
      <w:adjustRightInd/>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autoSpaceDE/>
      <w:autoSpaceDN/>
      <w:adjustRightInd/>
      <w:spacing w:before="100" w:beforeAutospacing="1" w:after="100" w:afterAutospacing="1"/>
    </w:pPr>
    <w:rPr>
      <w:sz w:val="24"/>
      <w:szCs w:val="24"/>
    </w:rPr>
  </w:style>
  <w:style w:type="paragraph" w:styleId="BalloonText">
    <w:name w:val="Balloon Text"/>
    <w:basedOn w:val="Normal"/>
    <w:semiHidden/>
    <w:rsid w:val="005202B9"/>
    <w:rPr>
      <w:rFonts w:ascii="Tahoma" w:hAnsi="Tahoma" w:cs="Tahoma"/>
      <w:sz w:val="16"/>
      <w:szCs w:val="16"/>
    </w:rPr>
  </w:style>
  <w:style w:type="table" w:styleId="TableGrid">
    <w:name w:val="Table Grid"/>
    <w:basedOn w:val="TableNormal"/>
    <w:rsid w:val="00A41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D7C"/>
    <w:pPr>
      <w:ind w:left="720"/>
      <w:contextualSpacing/>
    </w:pPr>
  </w:style>
  <w:style w:type="paragraph" w:customStyle="1" w:styleId="yiv0646217757msonormal">
    <w:name w:val="yiv0646217757msonormal"/>
    <w:basedOn w:val="Normal"/>
    <w:rsid w:val="00D5356A"/>
    <w:pPr>
      <w:autoSpaceDE/>
      <w:autoSpaceDN/>
      <w:adjustRightInd/>
      <w:spacing w:before="100" w:beforeAutospacing="1" w:after="100" w:afterAutospacing="1"/>
    </w:pPr>
    <w:rPr>
      <w:sz w:val="24"/>
      <w:szCs w:val="24"/>
    </w:rPr>
  </w:style>
  <w:style w:type="paragraph" w:styleId="Revision">
    <w:name w:val="Revision"/>
    <w:hidden/>
    <w:uiPriority w:val="99"/>
    <w:semiHidden/>
    <w:rsid w:val="00CC3467"/>
  </w:style>
  <w:style w:type="paragraph" w:styleId="CommentText">
    <w:name w:val="annotation text"/>
    <w:basedOn w:val="Normal"/>
    <w:link w:val="CommentTextChar"/>
    <w:uiPriority w:val="99"/>
    <w:unhideWhenUsed/>
    <w:rsid w:val="00026A2D"/>
    <w:pPr>
      <w:autoSpaceDE/>
      <w:autoSpaceDN/>
      <w:adjustRightInd/>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26A2D"/>
    <w:rPr>
      <w:rFonts w:asciiTheme="minorHAnsi" w:eastAsiaTheme="minorHAnsi" w:hAnsiTheme="minorHAnsi" w:cstheme="minorBidi"/>
    </w:rPr>
  </w:style>
  <w:style w:type="character" w:styleId="CommentReference">
    <w:name w:val="annotation reference"/>
    <w:basedOn w:val="DefaultParagraphFont"/>
    <w:uiPriority w:val="99"/>
    <w:unhideWhenUsed/>
    <w:rsid w:val="00026A2D"/>
    <w:rPr>
      <w:sz w:val="16"/>
      <w:szCs w:val="16"/>
    </w:rPr>
  </w:style>
  <w:style w:type="paragraph" w:styleId="Header">
    <w:name w:val="header"/>
    <w:basedOn w:val="Normal"/>
    <w:link w:val="HeaderChar"/>
    <w:rsid w:val="00287748"/>
    <w:pPr>
      <w:tabs>
        <w:tab w:val="center" w:pos="4680"/>
        <w:tab w:val="right" w:pos="9360"/>
      </w:tabs>
    </w:pPr>
  </w:style>
  <w:style w:type="character" w:customStyle="1" w:styleId="HeaderChar">
    <w:name w:val="Header Char"/>
    <w:basedOn w:val="DefaultParagraphFont"/>
    <w:link w:val="Header"/>
    <w:rsid w:val="00287748"/>
  </w:style>
  <w:style w:type="paragraph" w:styleId="Footer">
    <w:name w:val="footer"/>
    <w:basedOn w:val="Normal"/>
    <w:link w:val="FooterChar"/>
    <w:uiPriority w:val="99"/>
    <w:rsid w:val="00287748"/>
    <w:pPr>
      <w:tabs>
        <w:tab w:val="center" w:pos="4680"/>
        <w:tab w:val="right" w:pos="9360"/>
      </w:tabs>
    </w:pPr>
  </w:style>
  <w:style w:type="character" w:customStyle="1" w:styleId="FooterChar">
    <w:name w:val="Footer Char"/>
    <w:basedOn w:val="DefaultParagraphFont"/>
    <w:link w:val="Footer"/>
    <w:uiPriority w:val="99"/>
    <w:rsid w:val="0028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1350">
      <w:bodyDiv w:val="1"/>
      <w:marLeft w:val="0"/>
      <w:marRight w:val="0"/>
      <w:marTop w:val="0"/>
      <w:marBottom w:val="0"/>
      <w:divBdr>
        <w:top w:val="none" w:sz="0" w:space="0" w:color="auto"/>
        <w:left w:val="none" w:sz="0" w:space="0" w:color="auto"/>
        <w:bottom w:val="none" w:sz="0" w:space="0" w:color="auto"/>
        <w:right w:val="none" w:sz="0" w:space="0" w:color="auto"/>
      </w:divBdr>
      <w:divsChild>
        <w:div w:id="141851850">
          <w:marLeft w:val="0"/>
          <w:marRight w:val="0"/>
          <w:marTop w:val="0"/>
          <w:marBottom w:val="0"/>
          <w:divBdr>
            <w:top w:val="none" w:sz="0" w:space="0" w:color="auto"/>
            <w:left w:val="none" w:sz="0" w:space="0" w:color="auto"/>
            <w:bottom w:val="none" w:sz="0" w:space="0" w:color="auto"/>
            <w:right w:val="none" w:sz="0" w:space="0" w:color="auto"/>
          </w:divBdr>
          <w:divsChild>
            <w:div w:id="16313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3357">
      <w:bodyDiv w:val="1"/>
      <w:marLeft w:val="0"/>
      <w:marRight w:val="0"/>
      <w:marTop w:val="0"/>
      <w:marBottom w:val="0"/>
      <w:divBdr>
        <w:top w:val="none" w:sz="0" w:space="0" w:color="auto"/>
        <w:left w:val="none" w:sz="0" w:space="0" w:color="auto"/>
        <w:bottom w:val="none" w:sz="0" w:space="0" w:color="auto"/>
        <w:right w:val="none" w:sz="0" w:space="0" w:color="auto"/>
      </w:divBdr>
    </w:div>
    <w:div w:id="1045987195">
      <w:bodyDiv w:val="1"/>
      <w:marLeft w:val="0"/>
      <w:marRight w:val="0"/>
      <w:marTop w:val="0"/>
      <w:marBottom w:val="0"/>
      <w:divBdr>
        <w:top w:val="none" w:sz="0" w:space="0" w:color="auto"/>
        <w:left w:val="none" w:sz="0" w:space="0" w:color="auto"/>
        <w:bottom w:val="none" w:sz="0" w:space="0" w:color="auto"/>
        <w:right w:val="none" w:sz="0" w:space="0" w:color="auto"/>
      </w:divBdr>
      <w:divsChild>
        <w:div w:id="429817246">
          <w:marLeft w:val="0"/>
          <w:marRight w:val="0"/>
          <w:marTop w:val="0"/>
          <w:marBottom w:val="0"/>
          <w:divBdr>
            <w:top w:val="none" w:sz="0" w:space="0" w:color="auto"/>
            <w:left w:val="none" w:sz="0" w:space="0" w:color="auto"/>
            <w:bottom w:val="none" w:sz="0" w:space="0" w:color="auto"/>
            <w:right w:val="none" w:sz="0" w:space="0" w:color="auto"/>
          </w:divBdr>
          <w:divsChild>
            <w:div w:id="651834067">
              <w:marLeft w:val="0"/>
              <w:marRight w:val="0"/>
              <w:marTop w:val="120"/>
              <w:marBottom w:val="0"/>
              <w:divBdr>
                <w:top w:val="none" w:sz="0" w:space="0" w:color="auto"/>
                <w:left w:val="none" w:sz="0" w:space="0" w:color="auto"/>
                <w:bottom w:val="none" w:sz="0" w:space="0" w:color="auto"/>
                <w:right w:val="none" w:sz="0" w:space="0" w:color="auto"/>
              </w:divBdr>
            </w:div>
            <w:div w:id="1658604550">
              <w:marLeft w:val="0"/>
              <w:marRight w:val="0"/>
              <w:marTop w:val="120"/>
              <w:marBottom w:val="0"/>
              <w:divBdr>
                <w:top w:val="none" w:sz="0" w:space="0" w:color="auto"/>
                <w:left w:val="none" w:sz="0" w:space="0" w:color="auto"/>
                <w:bottom w:val="none" w:sz="0" w:space="0" w:color="auto"/>
                <w:right w:val="none" w:sz="0" w:space="0" w:color="auto"/>
              </w:divBdr>
            </w:div>
          </w:divsChild>
        </w:div>
        <w:div w:id="1687561089">
          <w:marLeft w:val="0"/>
          <w:marRight w:val="0"/>
          <w:marTop w:val="0"/>
          <w:marBottom w:val="0"/>
          <w:divBdr>
            <w:top w:val="none" w:sz="0" w:space="0" w:color="auto"/>
            <w:left w:val="none" w:sz="0" w:space="0" w:color="auto"/>
            <w:bottom w:val="none" w:sz="0" w:space="0" w:color="auto"/>
            <w:right w:val="none" w:sz="0" w:space="0" w:color="auto"/>
          </w:divBdr>
          <w:divsChild>
            <w:div w:id="136143658">
              <w:marLeft w:val="0"/>
              <w:marRight w:val="0"/>
              <w:marTop w:val="120"/>
              <w:marBottom w:val="0"/>
              <w:divBdr>
                <w:top w:val="none" w:sz="0" w:space="0" w:color="auto"/>
                <w:left w:val="none" w:sz="0" w:space="0" w:color="auto"/>
                <w:bottom w:val="none" w:sz="0" w:space="0" w:color="auto"/>
                <w:right w:val="none" w:sz="0" w:space="0" w:color="auto"/>
              </w:divBdr>
            </w:div>
            <w:div w:id="728504265">
              <w:marLeft w:val="0"/>
              <w:marRight w:val="0"/>
              <w:marTop w:val="240"/>
              <w:marBottom w:val="0"/>
              <w:divBdr>
                <w:top w:val="none" w:sz="0" w:space="0" w:color="auto"/>
                <w:left w:val="none" w:sz="0" w:space="0" w:color="auto"/>
                <w:bottom w:val="none" w:sz="0" w:space="0" w:color="auto"/>
                <w:right w:val="none" w:sz="0" w:space="0" w:color="auto"/>
              </w:divBdr>
            </w:div>
            <w:div w:id="17412948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0011738">
      <w:bodyDiv w:val="1"/>
      <w:marLeft w:val="0"/>
      <w:marRight w:val="0"/>
      <w:marTop w:val="0"/>
      <w:marBottom w:val="0"/>
      <w:divBdr>
        <w:top w:val="none" w:sz="0" w:space="0" w:color="auto"/>
        <w:left w:val="none" w:sz="0" w:space="0" w:color="auto"/>
        <w:bottom w:val="none" w:sz="0" w:space="0" w:color="auto"/>
        <w:right w:val="none" w:sz="0" w:space="0" w:color="auto"/>
      </w:divBdr>
    </w:div>
    <w:div w:id="1733581840">
      <w:bodyDiv w:val="1"/>
      <w:marLeft w:val="0"/>
      <w:marRight w:val="0"/>
      <w:marTop w:val="0"/>
      <w:marBottom w:val="0"/>
      <w:divBdr>
        <w:top w:val="none" w:sz="0" w:space="0" w:color="auto"/>
        <w:left w:val="none" w:sz="0" w:space="0" w:color="auto"/>
        <w:bottom w:val="none" w:sz="0" w:space="0" w:color="auto"/>
        <w:right w:val="none" w:sz="0" w:space="0" w:color="auto"/>
      </w:divBdr>
    </w:div>
    <w:div w:id="2059477403">
      <w:bodyDiv w:val="1"/>
      <w:marLeft w:val="0"/>
      <w:marRight w:val="0"/>
      <w:marTop w:val="0"/>
      <w:marBottom w:val="0"/>
      <w:divBdr>
        <w:top w:val="none" w:sz="0" w:space="0" w:color="auto"/>
        <w:left w:val="none" w:sz="0" w:space="0" w:color="auto"/>
        <w:bottom w:val="none" w:sz="0" w:space="0" w:color="auto"/>
        <w:right w:val="none" w:sz="0" w:space="0" w:color="auto"/>
      </w:divBdr>
      <w:divsChild>
        <w:div w:id="35592927">
          <w:marLeft w:val="0"/>
          <w:marRight w:val="0"/>
          <w:marTop w:val="0"/>
          <w:marBottom w:val="0"/>
          <w:divBdr>
            <w:top w:val="none" w:sz="0" w:space="0" w:color="auto"/>
            <w:left w:val="none" w:sz="0" w:space="0" w:color="auto"/>
            <w:bottom w:val="none" w:sz="0" w:space="0" w:color="auto"/>
            <w:right w:val="none" w:sz="0" w:space="0" w:color="auto"/>
          </w:divBdr>
          <w:divsChild>
            <w:div w:id="1074427854">
              <w:marLeft w:val="0"/>
              <w:marRight w:val="0"/>
              <w:marTop w:val="360"/>
              <w:marBottom w:val="0"/>
              <w:divBdr>
                <w:top w:val="none" w:sz="0" w:space="0" w:color="auto"/>
                <w:left w:val="none" w:sz="0" w:space="0" w:color="auto"/>
                <w:bottom w:val="none" w:sz="0" w:space="0" w:color="auto"/>
                <w:right w:val="none" w:sz="0" w:space="0" w:color="auto"/>
              </w:divBdr>
            </w:div>
            <w:div w:id="1206211219">
              <w:marLeft w:val="0"/>
              <w:marRight w:val="0"/>
              <w:marTop w:val="0"/>
              <w:marBottom w:val="0"/>
              <w:divBdr>
                <w:top w:val="none" w:sz="0" w:space="0" w:color="auto"/>
                <w:left w:val="none" w:sz="0" w:space="0" w:color="auto"/>
                <w:bottom w:val="none" w:sz="0" w:space="0" w:color="auto"/>
                <w:right w:val="none" w:sz="0" w:space="0" w:color="auto"/>
              </w:divBdr>
            </w:div>
          </w:divsChild>
        </w:div>
        <w:div w:id="544563357">
          <w:marLeft w:val="0"/>
          <w:marRight w:val="0"/>
          <w:marTop w:val="0"/>
          <w:marBottom w:val="0"/>
          <w:divBdr>
            <w:top w:val="none" w:sz="0" w:space="0" w:color="auto"/>
            <w:left w:val="none" w:sz="0" w:space="0" w:color="auto"/>
            <w:bottom w:val="none" w:sz="0" w:space="0" w:color="auto"/>
            <w:right w:val="none" w:sz="0" w:space="0" w:color="auto"/>
          </w:divBdr>
          <w:divsChild>
            <w:div w:id="18063926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Jeff Kastner</cp:lastModifiedBy>
  <cp:revision>6</cp:revision>
  <cp:lastPrinted>2020-03-02T23:50:00Z</cp:lastPrinted>
  <dcterms:created xsi:type="dcterms:W3CDTF">2023-02-28T18:28:00Z</dcterms:created>
  <dcterms:modified xsi:type="dcterms:W3CDTF">2023-02-28T19:40:00Z</dcterms:modified>
</cp:coreProperties>
</file>